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0"/>
        <w:tblW w:w="8505" w:type="dxa"/>
        <w:tblLayout w:type="fixed"/>
        <w:tblLook w:val="0000" w:firstRow="0" w:lastRow="0" w:firstColumn="0" w:lastColumn="0" w:noHBand="0" w:noVBand="0"/>
      </w:tblPr>
      <w:tblGrid>
        <w:gridCol w:w="3115"/>
        <w:gridCol w:w="5390"/>
      </w:tblGrid>
      <w:tr w:rsidR="00622DA4" w14:paraId="3446C0FD" w14:textId="77777777" w:rsidTr="006F63B6">
        <w:trPr>
          <w:trHeight w:val="1714"/>
        </w:trPr>
        <w:tc>
          <w:tcPr>
            <w:tcW w:w="8505" w:type="dxa"/>
            <w:gridSpan w:val="2"/>
            <w:tcBorders>
              <w:bottom w:val="single" w:sz="4" w:space="0" w:color="000000"/>
            </w:tcBorders>
          </w:tcPr>
          <w:p w14:paraId="00A71CBE" w14:textId="7C09FA4D" w:rsidR="00664C6D" w:rsidRPr="00664C6D" w:rsidRDefault="00664C6D" w:rsidP="00664C6D">
            <w:pPr>
              <w:pBdr>
                <w:top w:val="nil"/>
                <w:left w:val="nil"/>
                <w:bottom w:val="nil"/>
                <w:right w:val="nil"/>
                <w:between w:val="nil"/>
              </w:pBdr>
              <w:spacing w:after="0" w:line="240" w:lineRule="auto"/>
              <w:ind w:left="142"/>
              <w:rPr>
                <w:rFonts w:ascii="Book Antiqua" w:eastAsia="Book Antiqua" w:hAnsi="Book Antiqua" w:cs="Book Antiqua"/>
                <w:b/>
                <w:color w:val="000000"/>
                <w:sz w:val="36"/>
                <w:szCs w:val="36"/>
              </w:rPr>
            </w:pPr>
            <w:r w:rsidRPr="00664C6D">
              <w:rPr>
                <w:rFonts w:ascii="Book Antiqua" w:hAnsi="Book Antiqua"/>
                <w:b/>
                <w:bCs/>
                <w:noProof/>
                <w:sz w:val="28"/>
                <w:szCs w:val="28"/>
                <w:lang w:val="id-ID"/>
              </w:rPr>
              <w:t>Implementing the National Single Socioeconomic Data (DTSEN) for Social Assistance Targeting in Bogor City, Indonesia</w:t>
            </w:r>
            <w:r w:rsidRPr="00664C6D">
              <w:rPr>
                <w:rFonts w:ascii="Book Antiqua" w:hAnsi="Book Antiqua"/>
                <w:b/>
                <w:bCs/>
                <w:noProof/>
                <w:sz w:val="32"/>
                <w:szCs w:val="28"/>
                <w:lang w:val="id-ID"/>
              </w:rPr>
              <w:t xml:space="preserve"> </w:t>
            </w:r>
          </w:p>
          <w:p w14:paraId="605C6230" w14:textId="77777777" w:rsidR="00622DA4" w:rsidRDefault="00622DA4">
            <w:pPr>
              <w:pBdr>
                <w:top w:val="nil"/>
                <w:left w:val="nil"/>
                <w:bottom w:val="nil"/>
                <w:right w:val="nil"/>
                <w:between w:val="nil"/>
              </w:pBdr>
              <w:spacing w:after="0" w:line="240" w:lineRule="auto"/>
              <w:jc w:val="center"/>
              <w:rPr>
                <w:rFonts w:ascii="Book Antiqua" w:eastAsia="Book Antiqua" w:hAnsi="Book Antiqua" w:cs="Book Antiqua"/>
                <w:b/>
                <w:color w:val="000000"/>
                <w:sz w:val="28"/>
                <w:szCs w:val="28"/>
              </w:rPr>
            </w:pPr>
          </w:p>
          <w:p w14:paraId="532FC81E" w14:textId="4CF016D1" w:rsidR="00622DA4" w:rsidRDefault="004D564B">
            <w:pPr>
              <w:spacing w:after="0" w:line="240" w:lineRule="auto"/>
              <w:ind w:left="142"/>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Nelsa Armanda</w:t>
            </w:r>
            <w:r w:rsidR="0038031F">
              <w:rPr>
                <w:rFonts w:ascii="Book Antiqua" w:eastAsia="Book Antiqua" w:hAnsi="Book Antiqua" w:cs="Book Antiqua"/>
                <w:color w:val="000000"/>
                <w:sz w:val="24"/>
                <w:szCs w:val="24"/>
                <w:vertAlign w:val="superscript"/>
              </w:rPr>
              <w:t>1</w:t>
            </w:r>
            <w:r w:rsidR="0038031F">
              <w:rPr>
                <w:rFonts w:ascii="Book Antiqua" w:eastAsia="Book Antiqua" w:hAnsi="Book Antiqua" w:cs="Book Antiqua"/>
                <w:color w:val="000000"/>
                <w:sz w:val="24"/>
                <w:szCs w:val="24"/>
              </w:rPr>
              <w:t xml:space="preserve">, </w:t>
            </w:r>
            <w:r>
              <w:rPr>
                <w:rFonts w:ascii="Book Antiqua" w:eastAsia="Book Antiqua" w:hAnsi="Book Antiqua" w:cs="Book Antiqua"/>
                <w:color w:val="000000"/>
                <w:sz w:val="24"/>
                <w:szCs w:val="24"/>
              </w:rPr>
              <w:t>Saprudin</w:t>
            </w:r>
            <w:r w:rsidR="0038031F">
              <w:rPr>
                <w:rFonts w:ascii="Book Antiqua" w:eastAsia="Book Antiqua" w:hAnsi="Book Antiqua" w:cs="Book Antiqua"/>
                <w:color w:val="000000"/>
                <w:sz w:val="24"/>
                <w:szCs w:val="24"/>
                <w:vertAlign w:val="superscript"/>
              </w:rPr>
              <w:t>2</w:t>
            </w:r>
            <w:r w:rsidR="0038031F">
              <w:rPr>
                <w:rFonts w:ascii="Book Antiqua" w:eastAsia="Book Antiqua" w:hAnsi="Book Antiqua" w:cs="Book Antiqua"/>
                <w:color w:val="000000"/>
                <w:sz w:val="24"/>
                <w:szCs w:val="24"/>
              </w:rPr>
              <w:t xml:space="preserve">, and </w:t>
            </w:r>
            <w:proofErr w:type="spellStart"/>
            <w:r>
              <w:rPr>
                <w:rFonts w:ascii="Book Antiqua" w:eastAsia="Book Antiqua" w:hAnsi="Book Antiqua" w:cs="Book Antiqua"/>
                <w:color w:val="000000"/>
                <w:sz w:val="24"/>
                <w:szCs w:val="24"/>
              </w:rPr>
              <w:t>Agus</w:t>
            </w:r>
            <w:proofErr w:type="spellEnd"/>
            <w:r>
              <w:rPr>
                <w:rFonts w:ascii="Book Antiqua" w:eastAsia="Book Antiqua" w:hAnsi="Book Antiqua" w:cs="Book Antiqua"/>
                <w:color w:val="000000"/>
                <w:sz w:val="24"/>
                <w:szCs w:val="24"/>
              </w:rPr>
              <w:t xml:space="preserve"> </w:t>
            </w:r>
            <w:proofErr w:type="spellStart"/>
            <w:r>
              <w:rPr>
                <w:rFonts w:ascii="Book Antiqua" w:eastAsia="Book Antiqua" w:hAnsi="Book Antiqua" w:cs="Book Antiqua"/>
                <w:color w:val="000000"/>
                <w:sz w:val="24"/>
                <w:szCs w:val="24"/>
              </w:rPr>
              <w:t>Suarman</w:t>
            </w:r>
            <w:proofErr w:type="spellEnd"/>
            <w:r>
              <w:rPr>
                <w:rFonts w:ascii="Book Antiqua" w:eastAsia="Book Antiqua" w:hAnsi="Book Antiqua" w:cs="Book Antiqua"/>
                <w:color w:val="000000"/>
                <w:sz w:val="24"/>
                <w:szCs w:val="24"/>
              </w:rPr>
              <w:t xml:space="preserve"> Sudarsa</w:t>
            </w:r>
            <w:r>
              <w:rPr>
                <w:rFonts w:ascii="Book Antiqua" w:eastAsia="Book Antiqua" w:hAnsi="Book Antiqua" w:cs="Book Antiqua"/>
                <w:color w:val="000000"/>
                <w:sz w:val="24"/>
                <w:szCs w:val="24"/>
                <w:vertAlign w:val="superscript"/>
              </w:rPr>
              <w:t>3</w:t>
            </w:r>
            <w:r>
              <w:rPr>
                <w:rFonts w:ascii="Book Antiqua" w:eastAsia="Book Antiqua" w:hAnsi="Book Antiqua" w:cs="Book Antiqua"/>
                <w:color w:val="000000"/>
                <w:sz w:val="24"/>
                <w:szCs w:val="24"/>
              </w:rPr>
              <w:t xml:space="preserve"> </w:t>
            </w:r>
          </w:p>
          <w:p w14:paraId="6B1D0A53" w14:textId="05359416" w:rsidR="00622DA4" w:rsidRDefault="004D564B">
            <w:pPr>
              <w:spacing w:after="0" w:line="240" w:lineRule="auto"/>
              <w:ind w:left="142"/>
              <w:rPr>
                <w:rFonts w:ascii="Book Antiqua" w:eastAsia="Book Antiqua" w:hAnsi="Book Antiqua" w:cs="Book Antiqua"/>
                <w:b/>
                <w:color w:val="000000"/>
                <w:sz w:val="24"/>
                <w:szCs w:val="24"/>
              </w:rPr>
            </w:pPr>
            <w:proofErr w:type="spellStart"/>
            <w:r>
              <w:rPr>
                <w:rFonts w:ascii="Book Antiqua" w:eastAsia="Book Antiqua" w:hAnsi="Book Antiqua" w:cs="Book Antiqua"/>
                <w:color w:val="000000"/>
                <w:sz w:val="24"/>
                <w:szCs w:val="24"/>
              </w:rPr>
              <w:t>Universitas</w:t>
            </w:r>
            <w:proofErr w:type="spellEnd"/>
            <w:r>
              <w:rPr>
                <w:rFonts w:ascii="Book Antiqua" w:eastAsia="Book Antiqua" w:hAnsi="Book Antiqua" w:cs="Book Antiqua"/>
                <w:color w:val="000000"/>
                <w:sz w:val="24"/>
                <w:szCs w:val="24"/>
              </w:rPr>
              <w:t xml:space="preserve"> </w:t>
            </w:r>
            <w:proofErr w:type="spellStart"/>
            <w:r>
              <w:rPr>
                <w:rFonts w:ascii="Book Antiqua" w:eastAsia="Book Antiqua" w:hAnsi="Book Antiqua" w:cs="Book Antiqua"/>
                <w:color w:val="000000"/>
                <w:sz w:val="24"/>
                <w:szCs w:val="24"/>
              </w:rPr>
              <w:t>Djuanda</w:t>
            </w:r>
            <w:proofErr w:type="spellEnd"/>
            <w:r>
              <w:rPr>
                <w:rFonts w:ascii="Book Antiqua" w:eastAsia="Book Antiqua" w:hAnsi="Book Antiqua" w:cs="Book Antiqua"/>
                <w:color w:val="000000"/>
                <w:sz w:val="24"/>
                <w:szCs w:val="24"/>
              </w:rPr>
              <w:t xml:space="preserve">, </w:t>
            </w:r>
            <w:proofErr w:type="gramStart"/>
            <w:r>
              <w:rPr>
                <w:rFonts w:ascii="Book Antiqua" w:eastAsia="Book Antiqua" w:hAnsi="Book Antiqua" w:cs="Book Antiqua"/>
                <w:color w:val="000000"/>
                <w:sz w:val="24"/>
                <w:szCs w:val="24"/>
              </w:rPr>
              <w:t>Bogor ,</w:t>
            </w:r>
            <w:proofErr w:type="gramEnd"/>
            <w:r>
              <w:rPr>
                <w:rFonts w:ascii="Book Antiqua" w:eastAsia="Book Antiqua" w:hAnsi="Book Antiqua" w:cs="Book Antiqua"/>
                <w:color w:val="000000"/>
                <w:sz w:val="24"/>
                <w:szCs w:val="24"/>
              </w:rPr>
              <w:t xml:space="preserve"> Indonesia</w:t>
            </w:r>
          </w:p>
          <w:p w14:paraId="3A5D9C6C" w14:textId="2339D771" w:rsidR="004D564B" w:rsidRPr="00DD2FA7" w:rsidRDefault="0038031F" w:rsidP="006F63B6">
            <w:pPr>
              <w:spacing w:after="0" w:line="240" w:lineRule="auto"/>
              <w:ind w:left="142"/>
              <w:rPr>
                <w:rFonts w:ascii="Book Antiqua" w:eastAsia="Book Antiqua" w:hAnsi="Book Antiqua" w:cs="Book Antiqua"/>
                <w:color w:val="000000"/>
                <w:sz w:val="24"/>
                <w:szCs w:val="24"/>
              </w:rPr>
            </w:pPr>
            <w:r>
              <w:rPr>
                <w:rFonts w:ascii="Book Antiqua" w:eastAsia="Book Antiqua" w:hAnsi="Book Antiqua" w:cs="Book Antiqua"/>
                <w:b/>
                <w:color w:val="000000"/>
                <w:sz w:val="24"/>
                <w:szCs w:val="24"/>
              </w:rPr>
              <w:t>Corresponding Author:</w:t>
            </w:r>
            <w:r>
              <w:rPr>
                <w:rFonts w:ascii="Book Antiqua" w:eastAsia="Book Antiqua" w:hAnsi="Book Antiqua" w:cs="Book Antiqua"/>
                <w:color w:val="000000"/>
                <w:sz w:val="24"/>
                <w:szCs w:val="24"/>
              </w:rPr>
              <w:t xml:space="preserve"> </w:t>
            </w:r>
            <w:proofErr w:type="spellStart"/>
            <w:r w:rsidR="00423A8B">
              <w:rPr>
                <w:rFonts w:ascii="Book Antiqua" w:eastAsia="Book Antiqua" w:hAnsi="Book Antiqua" w:cs="Book Antiqua"/>
                <w:color w:val="000000"/>
                <w:sz w:val="24"/>
                <w:szCs w:val="24"/>
              </w:rPr>
              <w:t>Nelsa</w:t>
            </w:r>
            <w:proofErr w:type="spellEnd"/>
            <w:r w:rsidR="00423A8B">
              <w:rPr>
                <w:rFonts w:ascii="Book Antiqua" w:eastAsia="Book Antiqua" w:hAnsi="Book Antiqua" w:cs="Book Antiqua"/>
                <w:color w:val="000000"/>
                <w:sz w:val="24"/>
                <w:szCs w:val="24"/>
              </w:rPr>
              <w:t xml:space="preserve"> Armanda</w:t>
            </w:r>
            <w:r w:rsidR="00423A8B">
              <w:rPr>
                <w:rStyle w:val="Hyperlink"/>
                <w:rFonts w:ascii="Book Antiqua" w:eastAsia="Book Antiqua" w:hAnsi="Book Antiqua" w:cs="Book Antiqua"/>
                <w:sz w:val="24"/>
                <w:szCs w:val="24"/>
              </w:rPr>
              <w:t xml:space="preserve"> </w:t>
            </w:r>
            <w:hyperlink r:id="rId8" w:history="1">
              <w:r w:rsidR="004D564B" w:rsidRPr="00395052">
                <w:rPr>
                  <w:rStyle w:val="Hyperlink"/>
                  <w:rFonts w:ascii="Book Antiqua" w:eastAsia="Book Antiqua" w:hAnsi="Book Antiqua" w:cs="Book Antiqua"/>
                  <w:sz w:val="24"/>
                  <w:szCs w:val="24"/>
                </w:rPr>
                <w:t>armandacaca20@gmail.com</w:t>
              </w:r>
            </w:hyperlink>
          </w:p>
        </w:tc>
      </w:tr>
      <w:tr w:rsidR="00622DA4" w14:paraId="48146D36" w14:textId="77777777">
        <w:trPr>
          <w:trHeight w:val="285"/>
        </w:trPr>
        <w:tc>
          <w:tcPr>
            <w:tcW w:w="3115" w:type="dxa"/>
            <w:tcBorders>
              <w:top w:val="single" w:sz="4" w:space="0" w:color="000000"/>
            </w:tcBorders>
          </w:tcPr>
          <w:p w14:paraId="19667704" w14:textId="77777777" w:rsidR="00622DA4" w:rsidRDefault="0038031F">
            <w:pPr>
              <w:widowControl w:val="0"/>
              <w:pBdr>
                <w:top w:val="nil"/>
                <w:left w:val="nil"/>
                <w:bottom w:val="nil"/>
                <w:right w:val="nil"/>
                <w:between w:val="nil"/>
              </w:pBdr>
              <w:spacing w:after="0" w:line="240" w:lineRule="auto"/>
              <w:ind w:left="118"/>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 R T I C L E I N F O</w:t>
            </w:r>
          </w:p>
        </w:tc>
        <w:tc>
          <w:tcPr>
            <w:tcW w:w="5390" w:type="dxa"/>
            <w:tcBorders>
              <w:top w:val="single" w:sz="4" w:space="0" w:color="000000"/>
            </w:tcBorders>
          </w:tcPr>
          <w:p w14:paraId="0AF08469" w14:textId="77777777" w:rsidR="00622DA4" w:rsidRDefault="0038031F">
            <w:pPr>
              <w:widowControl w:val="0"/>
              <w:pBdr>
                <w:top w:val="nil"/>
                <w:left w:val="nil"/>
                <w:bottom w:val="nil"/>
                <w:right w:val="nil"/>
                <w:between w:val="nil"/>
              </w:pBdr>
              <w:spacing w:after="0"/>
              <w:ind w:left="112"/>
              <w:rPr>
                <w:rFonts w:ascii="Book Antiqua" w:eastAsia="Book Antiqua" w:hAnsi="Book Antiqua" w:cs="Book Antiqua"/>
                <w:color w:val="000000"/>
                <w:sz w:val="24"/>
                <w:szCs w:val="24"/>
              </w:rPr>
            </w:pPr>
            <w:r>
              <w:rPr>
                <w:rFonts w:ascii="Book Antiqua" w:eastAsia="Book Antiqua" w:hAnsi="Book Antiqua" w:cs="Book Antiqua"/>
                <w:color w:val="000000"/>
                <w:sz w:val="24"/>
                <w:szCs w:val="24"/>
              </w:rPr>
              <w:t>A B S T R A C T</w:t>
            </w:r>
          </w:p>
        </w:tc>
      </w:tr>
      <w:tr w:rsidR="00622DA4" w14:paraId="30A494D7" w14:textId="77777777">
        <w:trPr>
          <w:trHeight w:val="3360"/>
        </w:trPr>
        <w:tc>
          <w:tcPr>
            <w:tcW w:w="3115" w:type="dxa"/>
            <w:tcBorders>
              <w:bottom w:val="single" w:sz="4" w:space="0" w:color="000000"/>
            </w:tcBorders>
          </w:tcPr>
          <w:p w14:paraId="52AE8BE1" w14:textId="50735C90" w:rsidR="00622DA4" w:rsidRDefault="0038031F" w:rsidP="00A85629">
            <w:pPr>
              <w:widowControl w:val="0"/>
              <w:pBdr>
                <w:top w:val="nil"/>
                <w:left w:val="nil"/>
                <w:bottom w:val="nil"/>
                <w:right w:val="nil"/>
                <w:between w:val="nil"/>
              </w:pBdr>
              <w:spacing w:before="35" w:after="0" w:line="240" w:lineRule="auto"/>
              <w:ind w:left="118" w:right="138"/>
              <w:jc w:val="both"/>
              <w:rPr>
                <w:rFonts w:ascii="Book Antiqua" w:eastAsia="Book Antiqua" w:hAnsi="Book Antiqua" w:cs="Book Antiqua"/>
                <w:color w:val="000000"/>
              </w:rPr>
            </w:pPr>
            <w:r>
              <w:rPr>
                <w:rFonts w:ascii="Book Antiqua" w:eastAsia="Book Antiqua" w:hAnsi="Book Antiqua" w:cs="Book Antiqua"/>
                <w:i/>
                <w:color w:val="000000"/>
              </w:rPr>
              <w:t>Keywords:</w:t>
            </w:r>
            <w:r>
              <w:rPr>
                <w:rFonts w:ascii="Book Antiqua" w:eastAsia="Book Antiqua" w:hAnsi="Book Antiqua" w:cs="Book Antiqua"/>
                <w:color w:val="000000"/>
              </w:rPr>
              <w:t xml:space="preserve"> </w:t>
            </w:r>
            <w:r w:rsidR="004B0B29" w:rsidRPr="00125A9B">
              <w:rPr>
                <w:rFonts w:ascii="Book Antiqua" w:hAnsi="Book Antiqua"/>
                <w:sz w:val="24"/>
                <w:szCs w:val="24"/>
                <w:lang w:eastAsia="en-ID"/>
              </w:rPr>
              <w:t>Policy Implementation; Social Assistance Targeting; Single Socioeconomic Registry; Street-Level Bureaucracy; Data Governance</w:t>
            </w:r>
          </w:p>
          <w:p w14:paraId="0D3919B9" w14:textId="77777777" w:rsidR="00622DA4" w:rsidRDefault="00622DA4">
            <w:pPr>
              <w:widowControl w:val="0"/>
              <w:pBdr>
                <w:top w:val="nil"/>
                <w:left w:val="nil"/>
                <w:bottom w:val="nil"/>
                <w:right w:val="nil"/>
                <w:between w:val="nil"/>
              </w:pBdr>
              <w:spacing w:before="6" w:after="0" w:line="240" w:lineRule="auto"/>
              <w:ind w:left="142" w:right="138"/>
              <w:rPr>
                <w:rFonts w:ascii="Book Antiqua" w:eastAsia="Book Antiqua" w:hAnsi="Book Antiqua" w:cs="Book Antiqua"/>
                <w:i/>
                <w:color w:val="000000"/>
              </w:rPr>
            </w:pPr>
          </w:p>
          <w:p w14:paraId="629C7FA8" w14:textId="2C073DDA" w:rsidR="00622DA4" w:rsidRDefault="0038031F">
            <w:pPr>
              <w:widowControl w:val="0"/>
              <w:pBdr>
                <w:top w:val="nil"/>
                <w:left w:val="nil"/>
                <w:bottom w:val="nil"/>
                <w:right w:val="nil"/>
                <w:between w:val="nil"/>
              </w:pBdr>
              <w:spacing w:before="6" w:after="0" w:line="240" w:lineRule="auto"/>
              <w:ind w:left="142" w:right="138"/>
              <w:rPr>
                <w:rFonts w:ascii="Book Antiqua" w:eastAsia="Book Antiqua" w:hAnsi="Book Antiqua" w:cs="Book Antiqua"/>
                <w:i/>
                <w:color w:val="000000"/>
              </w:rPr>
            </w:pPr>
            <w:proofErr w:type="gramStart"/>
            <w:r>
              <w:rPr>
                <w:rFonts w:ascii="Book Antiqua" w:eastAsia="Book Antiqua" w:hAnsi="Book Antiqua" w:cs="Book Antiqua"/>
                <w:i/>
                <w:color w:val="000000"/>
              </w:rPr>
              <w:t>Received :</w:t>
            </w:r>
            <w:proofErr w:type="gramEnd"/>
            <w:r>
              <w:rPr>
                <w:rFonts w:ascii="Book Antiqua" w:eastAsia="Book Antiqua" w:hAnsi="Book Antiqua" w:cs="Book Antiqua"/>
                <w:i/>
                <w:color w:val="000000"/>
              </w:rPr>
              <w:t xml:space="preserve"> </w:t>
            </w:r>
            <w:r w:rsidR="00DD2FA7">
              <w:rPr>
                <w:rFonts w:ascii="Book Antiqua" w:eastAsia="Book Antiqua" w:hAnsi="Book Antiqua" w:cs="Book Antiqua"/>
                <w:i/>
                <w:color w:val="000000"/>
              </w:rPr>
              <w:t>25 June</w:t>
            </w:r>
          </w:p>
          <w:p w14:paraId="28DA4BBD" w14:textId="4C32214D" w:rsidR="00622DA4" w:rsidRDefault="0038031F">
            <w:pPr>
              <w:widowControl w:val="0"/>
              <w:pBdr>
                <w:top w:val="nil"/>
                <w:left w:val="nil"/>
                <w:bottom w:val="nil"/>
                <w:right w:val="nil"/>
                <w:between w:val="nil"/>
              </w:pBdr>
              <w:spacing w:before="6" w:after="0" w:line="240" w:lineRule="auto"/>
              <w:ind w:left="142" w:right="138"/>
              <w:rPr>
                <w:rFonts w:ascii="Book Antiqua" w:eastAsia="Book Antiqua" w:hAnsi="Book Antiqua" w:cs="Book Antiqua"/>
                <w:i/>
                <w:color w:val="000000"/>
              </w:rPr>
            </w:pPr>
            <w:proofErr w:type="gramStart"/>
            <w:r>
              <w:rPr>
                <w:rFonts w:ascii="Book Antiqua" w:eastAsia="Book Antiqua" w:hAnsi="Book Antiqua" w:cs="Book Antiqua"/>
                <w:i/>
                <w:color w:val="000000"/>
              </w:rPr>
              <w:t>Revised  :</w:t>
            </w:r>
            <w:proofErr w:type="gramEnd"/>
            <w:r>
              <w:rPr>
                <w:rFonts w:ascii="Book Antiqua" w:eastAsia="Book Antiqua" w:hAnsi="Book Antiqua" w:cs="Book Antiqua"/>
                <w:i/>
                <w:color w:val="000000"/>
              </w:rPr>
              <w:t xml:space="preserve"> </w:t>
            </w:r>
            <w:r w:rsidR="00DD2FA7">
              <w:rPr>
                <w:rFonts w:ascii="Book Antiqua" w:eastAsia="Book Antiqua" w:hAnsi="Book Antiqua" w:cs="Book Antiqua"/>
                <w:i/>
                <w:color w:val="000000"/>
              </w:rPr>
              <w:t>25 August</w:t>
            </w:r>
          </w:p>
          <w:p w14:paraId="5998673A" w14:textId="57188789" w:rsidR="00622DA4" w:rsidRDefault="0038031F">
            <w:pPr>
              <w:widowControl w:val="0"/>
              <w:pBdr>
                <w:top w:val="nil"/>
                <w:left w:val="nil"/>
                <w:bottom w:val="nil"/>
                <w:right w:val="nil"/>
                <w:between w:val="nil"/>
              </w:pBdr>
              <w:spacing w:before="6" w:after="0" w:line="240" w:lineRule="auto"/>
              <w:ind w:left="142" w:right="138"/>
              <w:rPr>
                <w:rFonts w:ascii="Book Antiqua" w:eastAsia="Book Antiqua" w:hAnsi="Book Antiqua" w:cs="Book Antiqua"/>
                <w:i/>
                <w:color w:val="000000"/>
              </w:rPr>
            </w:pPr>
            <w:r>
              <w:rPr>
                <w:rFonts w:ascii="Book Antiqua" w:eastAsia="Book Antiqua" w:hAnsi="Book Antiqua" w:cs="Book Antiqua"/>
                <w:i/>
                <w:color w:val="000000"/>
              </w:rPr>
              <w:t xml:space="preserve">Accepted: </w:t>
            </w:r>
            <w:r w:rsidR="00DD2FA7">
              <w:rPr>
                <w:rFonts w:ascii="Book Antiqua" w:eastAsia="Book Antiqua" w:hAnsi="Book Antiqua" w:cs="Book Antiqua"/>
                <w:i/>
                <w:color w:val="000000"/>
              </w:rPr>
              <w:t xml:space="preserve">25 September </w:t>
            </w:r>
          </w:p>
          <w:p w14:paraId="46BD068B" w14:textId="77777777" w:rsidR="00622DA4" w:rsidRDefault="00622DA4">
            <w:pPr>
              <w:widowControl w:val="0"/>
              <w:pBdr>
                <w:top w:val="nil"/>
                <w:left w:val="nil"/>
                <w:bottom w:val="nil"/>
                <w:right w:val="nil"/>
                <w:between w:val="nil"/>
              </w:pBdr>
              <w:spacing w:before="5" w:after="0" w:line="240" w:lineRule="auto"/>
              <w:rPr>
                <w:rFonts w:ascii="Book Antiqua" w:eastAsia="Book Antiqua" w:hAnsi="Book Antiqua" w:cs="Book Antiqua"/>
                <w:color w:val="000000"/>
              </w:rPr>
            </w:pPr>
          </w:p>
          <w:p w14:paraId="5CB0E09B" w14:textId="57AAC83A" w:rsidR="00622DA4" w:rsidRDefault="0038031F">
            <w:pPr>
              <w:widowControl w:val="0"/>
              <w:pBdr>
                <w:top w:val="nil"/>
                <w:left w:val="nil"/>
                <w:bottom w:val="nil"/>
                <w:right w:val="nil"/>
                <w:between w:val="nil"/>
              </w:pBdr>
              <w:spacing w:after="0" w:line="240" w:lineRule="auto"/>
              <w:ind w:left="118" w:right="138"/>
              <w:jc w:val="both"/>
              <w:rPr>
                <w:rFonts w:ascii="Book Antiqua" w:eastAsia="Book Antiqua" w:hAnsi="Book Antiqua" w:cs="Book Antiqua"/>
                <w:color w:val="000000"/>
              </w:rPr>
            </w:pPr>
            <w:r>
              <w:rPr>
                <w:rFonts w:ascii="Book Antiqua" w:eastAsia="Book Antiqua" w:hAnsi="Book Antiqua" w:cs="Book Antiqua"/>
                <w:color w:val="000000"/>
              </w:rPr>
              <w:t>©202</w:t>
            </w:r>
            <w:r w:rsidR="00DD2FA7">
              <w:rPr>
                <w:rFonts w:ascii="Book Antiqua" w:eastAsia="Book Antiqua" w:hAnsi="Book Antiqua" w:cs="Book Antiqua"/>
                <w:color w:val="000000"/>
                <w:lang w:val="en-US"/>
              </w:rPr>
              <w:t>6</w:t>
            </w:r>
            <w:r w:rsidR="005F6847">
              <w:rPr>
                <w:rFonts w:ascii="Book Antiqua" w:eastAsia="Book Antiqua" w:hAnsi="Book Antiqua" w:cs="Book Antiqua"/>
                <w:color w:val="000000"/>
              </w:rPr>
              <w:t xml:space="preserve"> </w:t>
            </w:r>
            <w:r w:rsidR="00DD2FA7">
              <w:rPr>
                <w:rFonts w:ascii="Book Antiqua" w:eastAsia="Book Antiqua" w:hAnsi="Book Antiqua" w:cs="Book Antiqua"/>
                <w:color w:val="000000"/>
              </w:rPr>
              <w:t xml:space="preserve">Armanda, </w:t>
            </w:r>
            <w:proofErr w:type="spellStart"/>
            <w:r w:rsidR="00DD2FA7">
              <w:rPr>
                <w:rFonts w:ascii="Book Antiqua" w:eastAsia="Book Antiqua" w:hAnsi="Book Antiqua" w:cs="Book Antiqua"/>
                <w:color w:val="000000"/>
              </w:rPr>
              <w:t>Saprudin</w:t>
            </w:r>
            <w:proofErr w:type="spellEnd"/>
            <w:r w:rsidR="00DD2FA7">
              <w:rPr>
                <w:rFonts w:ascii="Book Antiqua" w:eastAsia="Book Antiqua" w:hAnsi="Book Antiqua" w:cs="Book Antiqua"/>
                <w:color w:val="000000"/>
              </w:rPr>
              <w:t xml:space="preserve">, </w:t>
            </w:r>
            <w:proofErr w:type="spellStart"/>
            <w:r w:rsidR="00DD2FA7">
              <w:rPr>
                <w:rFonts w:ascii="Book Antiqua" w:eastAsia="Book Antiqua" w:hAnsi="Book Antiqua" w:cs="Book Antiqua"/>
                <w:color w:val="000000"/>
              </w:rPr>
              <w:t>Sudarsa</w:t>
            </w:r>
            <w:proofErr w:type="spellEnd"/>
            <w:r w:rsidR="005F6847">
              <w:rPr>
                <w:rFonts w:ascii="Book Antiqua" w:eastAsia="Book Antiqua" w:hAnsi="Book Antiqua" w:cs="Book Antiqua"/>
                <w:color w:val="000000"/>
              </w:rPr>
              <w:t xml:space="preserve">: This is an open-access article distributed under the terms of the </w:t>
            </w:r>
            <w:hyperlink r:id="rId9">
              <w:r>
                <w:rPr>
                  <w:rFonts w:ascii="Book Antiqua" w:eastAsia="Book Antiqua" w:hAnsi="Book Antiqua" w:cs="Book Antiqua"/>
                  <w:color w:val="006797"/>
                  <w:u w:val="single"/>
                  <w:shd w:val="clear" w:color="auto" w:fill="DDDDDD"/>
                </w:rPr>
                <w:t xml:space="preserve">Creative Commons </w:t>
              </w:r>
              <w:proofErr w:type="spellStart"/>
              <w:r>
                <w:rPr>
                  <w:rFonts w:ascii="Book Antiqua" w:eastAsia="Book Antiqua" w:hAnsi="Book Antiqua" w:cs="Book Antiqua"/>
                  <w:color w:val="006797"/>
                  <w:u w:val="single"/>
                  <w:shd w:val="clear" w:color="auto" w:fill="DDDDDD"/>
                </w:rPr>
                <w:t>Atribusi</w:t>
              </w:r>
              <w:proofErr w:type="spellEnd"/>
              <w:r>
                <w:rPr>
                  <w:rFonts w:ascii="Book Antiqua" w:eastAsia="Book Antiqua" w:hAnsi="Book Antiqua" w:cs="Book Antiqua"/>
                  <w:color w:val="006797"/>
                  <w:u w:val="single"/>
                  <w:shd w:val="clear" w:color="auto" w:fill="DDDDDD"/>
                </w:rPr>
                <w:t xml:space="preserve"> 4.0</w:t>
              </w:r>
            </w:hyperlink>
            <w:r>
              <w:rPr>
                <w:rFonts w:ascii="Book Antiqua" w:eastAsia="Book Antiqua" w:hAnsi="Book Antiqua" w:cs="Book Antiqua"/>
                <w:color w:val="006797"/>
              </w:rPr>
              <w:t xml:space="preserve"> </w:t>
            </w:r>
            <w:hyperlink r:id="rId10">
              <w:r w:rsidR="004D564B">
                <w:rPr>
                  <w:rFonts w:ascii="Book Antiqua" w:eastAsia="Book Antiqua" w:hAnsi="Book Antiqua" w:cs="Book Antiqua"/>
                  <w:color w:val="006797"/>
                  <w:u w:val="single"/>
                  <w:shd w:val="clear" w:color="auto" w:fill="DDDDDD"/>
                </w:rPr>
                <w:t>International</w:t>
              </w:r>
            </w:hyperlink>
            <w:hyperlink r:id="rId11">
              <w:r>
                <w:rPr>
                  <w:rFonts w:ascii="Book Antiqua" w:eastAsia="Book Antiqua" w:hAnsi="Book Antiqua" w:cs="Book Antiqua"/>
                  <w:color w:val="000000"/>
                </w:rPr>
                <w:t>.</w:t>
              </w:r>
            </w:hyperlink>
          </w:p>
          <w:p w14:paraId="08A5798C" w14:textId="77777777" w:rsidR="00622DA4" w:rsidRDefault="0038031F">
            <w:pPr>
              <w:widowControl w:val="0"/>
              <w:pBdr>
                <w:top w:val="nil"/>
                <w:left w:val="nil"/>
                <w:bottom w:val="nil"/>
                <w:right w:val="nil"/>
                <w:between w:val="nil"/>
              </w:pBdr>
              <w:spacing w:after="0" w:line="240" w:lineRule="auto"/>
              <w:ind w:left="118"/>
              <w:rPr>
                <w:rFonts w:ascii="Book Antiqua" w:eastAsia="Book Antiqua" w:hAnsi="Book Antiqua" w:cs="Book Antiqua"/>
                <w:color w:val="000000"/>
                <w:sz w:val="20"/>
                <w:szCs w:val="20"/>
              </w:rPr>
            </w:pPr>
            <w:r>
              <w:rPr>
                <w:rFonts w:ascii="Book Antiqua" w:eastAsia="Book Antiqua" w:hAnsi="Book Antiqua" w:cs="Book Antiqua"/>
                <w:noProof/>
                <w:color w:val="000000"/>
                <w:lang w:val="id-ID" w:eastAsia="id-ID"/>
              </w:rPr>
              <w:drawing>
                <wp:inline distT="0" distB="0" distL="0" distR="0" wp14:anchorId="34E99C23" wp14:editId="0117C24F">
                  <wp:extent cx="693901" cy="247650"/>
                  <wp:effectExtent l="0" t="0" r="0" b="0"/>
                  <wp:docPr id="1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93901" cy="247650"/>
                          </a:xfrm>
                          <a:prstGeom prst="rect">
                            <a:avLst/>
                          </a:prstGeom>
                          <a:ln/>
                        </pic:spPr>
                      </pic:pic>
                    </a:graphicData>
                  </a:graphic>
                </wp:inline>
              </w:drawing>
            </w:r>
          </w:p>
        </w:tc>
        <w:tc>
          <w:tcPr>
            <w:tcW w:w="5390" w:type="dxa"/>
            <w:tcBorders>
              <w:bottom w:val="single" w:sz="4" w:space="0" w:color="000000"/>
            </w:tcBorders>
          </w:tcPr>
          <w:p w14:paraId="4F349E2A" w14:textId="5F715575" w:rsidR="00A85629" w:rsidRPr="00DD2FA7" w:rsidRDefault="003A22C8" w:rsidP="00DD2FA7">
            <w:pPr>
              <w:pStyle w:val="NoSpacing"/>
              <w:jc w:val="both"/>
              <w:rPr>
                <w:rFonts w:ascii="Book Antiqua" w:hAnsi="Book Antiqua"/>
                <w:sz w:val="22"/>
                <w:szCs w:val="22"/>
                <w:lang w:eastAsia="en-ID"/>
              </w:rPr>
            </w:pPr>
            <w:r w:rsidRPr="00DD2FA7">
              <w:rPr>
                <w:rFonts w:ascii="Book Antiqua" w:hAnsi="Book Antiqua"/>
                <w:sz w:val="22"/>
                <w:szCs w:val="22"/>
                <w:lang w:eastAsia="en-ID"/>
              </w:rPr>
              <w:t xml:space="preserve">Indonesia replaced its long-standing integrated welfare registry with the National Single Socioeconomic Data system (DTSEN) through Presidential Instruction Number 4 of 2025, ranking the entire population across ten welfare deciles to determine assistance eligibility. This study examines how that policy is implemented in social assistance delivery in Bogor City, which subnational factors support or obstruct it, and what </w:t>
            </w:r>
            <w:proofErr w:type="spellStart"/>
            <w:r w:rsidRPr="00DD2FA7">
              <w:rPr>
                <w:rFonts w:ascii="Book Antiqua" w:hAnsi="Book Antiqua"/>
                <w:sz w:val="22"/>
                <w:szCs w:val="22"/>
                <w:lang w:eastAsia="en-ID"/>
              </w:rPr>
              <w:t>optimisation</w:t>
            </w:r>
            <w:proofErr w:type="spellEnd"/>
            <w:r w:rsidRPr="00DD2FA7">
              <w:rPr>
                <w:rFonts w:ascii="Book Antiqua" w:hAnsi="Book Antiqua"/>
                <w:sz w:val="22"/>
                <w:szCs w:val="22"/>
                <w:lang w:eastAsia="en-ID"/>
              </w:rPr>
              <w:t xml:space="preserve"> strategies follow. A qualitative descriptive-analytical design was applied across two purposively selected sub-districts recording the widest coverage deficits, drawing on semi-structured interviews with fifteen informants spanning agency officials, sub-district personnel, system operators, </w:t>
            </w:r>
            <w:proofErr w:type="spellStart"/>
            <w:r w:rsidRPr="00DD2FA7">
              <w:rPr>
                <w:rFonts w:ascii="Book Antiqua" w:hAnsi="Book Antiqua"/>
                <w:sz w:val="22"/>
                <w:szCs w:val="22"/>
                <w:lang w:eastAsia="en-ID"/>
              </w:rPr>
              <w:t>neighbourhood</w:t>
            </w:r>
            <w:proofErr w:type="spellEnd"/>
            <w:r w:rsidRPr="00DD2FA7">
              <w:rPr>
                <w:rFonts w:ascii="Book Antiqua" w:hAnsi="Book Antiqua"/>
                <w:sz w:val="22"/>
                <w:szCs w:val="22"/>
                <w:lang w:eastAsia="en-ID"/>
              </w:rPr>
              <w:t xml:space="preserve"> heads, and residents, supplemented by field observation and documentation, and </w:t>
            </w:r>
            <w:proofErr w:type="spellStart"/>
            <w:r w:rsidRPr="00DD2FA7">
              <w:rPr>
                <w:rFonts w:ascii="Book Antiqua" w:hAnsi="Book Antiqua"/>
                <w:sz w:val="22"/>
                <w:szCs w:val="22"/>
                <w:lang w:eastAsia="en-ID"/>
              </w:rPr>
              <w:t>analysed</w:t>
            </w:r>
            <w:proofErr w:type="spellEnd"/>
            <w:r w:rsidRPr="00DD2FA7">
              <w:rPr>
                <w:rFonts w:ascii="Book Antiqua" w:hAnsi="Book Antiqua"/>
                <w:sz w:val="22"/>
                <w:szCs w:val="22"/>
                <w:lang w:eastAsia="en-ID"/>
              </w:rPr>
              <w:t xml:space="preserve"> through the Edwards III implementation model with street-level bureaucracy and data governance as supporting perspectives. Aggregate figures show 168,781 of 463,466 residents in Deciles 1–5, or 36.42 per cent, remain outside all assistance schemes, a figure representing a coverage gap rather than a measured inclusion or exclusion error since the study did not independently audit </w:t>
            </w:r>
            <w:proofErr w:type="spellStart"/>
            <w:r w:rsidRPr="00DD2FA7">
              <w:rPr>
                <w:rFonts w:ascii="Book Antiqua" w:hAnsi="Book Antiqua"/>
                <w:sz w:val="22"/>
                <w:szCs w:val="22"/>
                <w:lang w:eastAsia="en-ID"/>
              </w:rPr>
              <w:t>programme</w:t>
            </w:r>
            <w:proofErr w:type="spellEnd"/>
            <w:r w:rsidRPr="00DD2FA7">
              <w:rPr>
                <w:rFonts w:ascii="Book Antiqua" w:hAnsi="Book Antiqua"/>
                <w:sz w:val="22"/>
                <w:szCs w:val="22"/>
                <w:lang w:eastAsia="en-ID"/>
              </w:rPr>
              <w:t xml:space="preserve"> eligibility at household level. Communication channels operate but comprehension of the transition remains uneven; technical facilities are adequate while operator staffing is not; local commitment is strong</w:t>
            </w:r>
            <w:r w:rsidR="004D564B" w:rsidRPr="00DD2FA7">
              <w:rPr>
                <w:rFonts w:ascii="Book Antiqua" w:hAnsi="Book Antiqua"/>
                <w:sz w:val="22"/>
                <w:szCs w:val="22"/>
                <w:lang w:eastAsia="en-ID"/>
              </w:rPr>
              <w:t>,</w:t>
            </w:r>
            <w:r w:rsidRPr="00DD2FA7">
              <w:rPr>
                <w:rFonts w:ascii="Book Antiqua" w:hAnsi="Book Antiqua"/>
                <w:sz w:val="22"/>
                <w:szCs w:val="22"/>
                <w:lang w:eastAsia="en-ID"/>
              </w:rPr>
              <w:t xml:space="preserve"> yet determination authority is </w:t>
            </w:r>
            <w:proofErr w:type="spellStart"/>
            <w:r w:rsidRPr="00DD2FA7">
              <w:rPr>
                <w:rFonts w:ascii="Book Antiqua" w:hAnsi="Book Antiqua"/>
                <w:sz w:val="22"/>
                <w:szCs w:val="22"/>
                <w:lang w:eastAsia="en-ID"/>
              </w:rPr>
              <w:t>centralised</w:t>
            </w:r>
            <w:proofErr w:type="spellEnd"/>
            <w:r w:rsidRPr="00DD2FA7">
              <w:rPr>
                <w:rFonts w:ascii="Book Antiqua" w:hAnsi="Book Antiqua"/>
                <w:sz w:val="22"/>
                <w:szCs w:val="22"/>
                <w:lang w:eastAsia="en-ID"/>
              </w:rPr>
              <w:t xml:space="preserve">; and written verification procedures remain undeveloped. Discretion has migrated from final determination toward initial eligibility assessment, contrasting with earlier findings under the previous registry. The central implication is that building a technically sophisticated registry does not automatically produce responsive service delivery; conventional implementation factors, particularly procedural </w:t>
            </w:r>
            <w:proofErr w:type="spellStart"/>
            <w:r w:rsidRPr="00DD2FA7">
              <w:rPr>
                <w:rFonts w:ascii="Book Antiqua" w:hAnsi="Book Antiqua"/>
                <w:sz w:val="22"/>
                <w:szCs w:val="22"/>
                <w:lang w:eastAsia="en-ID"/>
              </w:rPr>
              <w:t>standardisation</w:t>
            </w:r>
            <w:proofErr w:type="spellEnd"/>
            <w:r w:rsidRPr="00DD2FA7">
              <w:rPr>
                <w:rFonts w:ascii="Book Antiqua" w:hAnsi="Book Antiqua"/>
                <w:sz w:val="22"/>
                <w:szCs w:val="22"/>
                <w:lang w:eastAsia="en-ID"/>
              </w:rPr>
              <w:t xml:space="preserve"> and human resource adequacy, continue to govern whether data integration translates into protection coverage</w:t>
            </w:r>
            <w:r w:rsidR="00DD2FA7" w:rsidRPr="00DD2FA7">
              <w:rPr>
                <w:rFonts w:ascii="Book Antiqua" w:hAnsi="Book Antiqua"/>
                <w:sz w:val="22"/>
                <w:szCs w:val="22"/>
                <w:lang w:eastAsia="en-ID"/>
              </w:rPr>
              <w:t>.</w:t>
            </w:r>
          </w:p>
        </w:tc>
      </w:tr>
    </w:tbl>
    <w:p w14:paraId="34EEBEF1" w14:textId="4E5B4291" w:rsidR="00622DA4" w:rsidRDefault="00622DA4">
      <w:pPr>
        <w:pBdr>
          <w:top w:val="nil"/>
          <w:left w:val="nil"/>
          <w:bottom w:val="nil"/>
          <w:right w:val="nil"/>
          <w:between w:val="nil"/>
        </w:pBdr>
        <w:tabs>
          <w:tab w:val="left" w:pos="7331"/>
        </w:tabs>
        <w:spacing w:after="0" w:line="240" w:lineRule="auto"/>
        <w:jc w:val="both"/>
        <w:rPr>
          <w:rFonts w:ascii="Book Antiqua" w:eastAsia="Book Antiqua" w:hAnsi="Book Antiqua" w:cs="Book Antiqua"/>
          <w:b/>
          <w:color w:val="000000"/>
          <w:sz w:val="24"/>
          <w:szCs w:val="24"/>
        </w:rPr>
      </w:pPr>
    </w:p>
    <w:p w14:paraId="4ACA0435" w14:textId="2CCA0632" w:rsidR="00622DA4" w:rsidRDefault="00622DA4">
      <w:pPr>
        <w:pBdr>
          <w:top w:val="nil"/>
          <w:left w:val="nil"/>
          <w:bottom w:val="nil"/>
          <w:right w:val="nil"/>
          <w:between w:val="nil"/>
        </w:pBdr>
        <w:spacing w:after="0" w:line="240" w:lineRule="auto"/>
        <w:jc w:val="both"/>
        <w:rPr>
          <w:rFonts w:ascii="Book Antiqua" w:eastAsia="Book Antiqua" w:hAnsi="Book Antiqua" w:cs="Book Antiqua"/>
          <w:b/>
          <w:color w:val="000000"/>
          <w:sz w:val="24"/>
          <w:szCs w:val="24"/>
        </w:rPr>
      </w:pPr>
    </w:p>
    <w:p w14:paraId="246863ED" w14:textId="77777777" w:rsidR="00423A8B" w:rsidRDefault="00423A8B">
      <w:pPr>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br w:type="page"/>
      </w:r>
    </w:p>
    <w:p w14:paraId="431050ED" w14:textId="7D0ADA5F" w:rsidR="00622DA4" w:rsidRDefault="0038031F">
      <w:pPr>
        <w:pBdr>
          <w:top w:val="nil"/>
          <w:left w:val="nil"/>
          <w:bottom w:val="nil"/>
          <w:right w:val="nil"/>
          <w:between w:val="nil"/>
        </w:pBd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lastRenderedPageBreak/>
        <w:t>INTRODUCTION</w:t>
      </w:r>
    </w:p>
    <w:p w14:paraId="097EB87B"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Administrative reform over the past two decades has been marked by a shift in public governance from manual record-keeping toward interconnected information systems. Social protection is among the sectors most affected by this shift, since the effectiveness of any assistance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rests on how precisely the state is able to </w:t>
      </w:r>
      <w:proofErr w:type="spellStart"/>
      <w:r w:rsidRPr="00355E5C">
        <w:rPr>
          <w:rFonts w:ascii="Book Antiqua" w:hAnsi="Book Antiqua"/>
          <w:lang w:eastAsia="en-ID"/>
        </w:rPr>
        <w:t>recognise</w:t>
      </w:r>
      <w:proofErr w:type="spellEnd"/>
      <w:r w:rsidRPr="00355E5C">
        <w:rPr>
          <w:rFonts w:ascii="Book Antiqua" w:hAnsi="Book Antiqua"/>
          <w:lang w:eastAsia="en-ID"/>
        </w:rPr>
        <w:t xml:space="preserve"> those who genuinely need help. Governments have generally pursued this goal by building a single registry that consolidates socio-economic information on citizens previously scattered across numerous agencies. </w:t>
      </w:r>
      <w:proofErr w:type="spellStart"/>
      <w:r w:rsidRPr="00355E5C">
        <w:rPr>
          <w:rFonts w:ascii="Book Antiqua" w:hAnsi="Book Antiqua"/>
          <w:lang w:eastAsia="en-ID"/>
        </w:rPr>
        <w:t>Digitalisation</w:t>
      </w:r>
      <w:proofErr w:type="spellEnd"/>
      <w:r w:rsidRPr="00355E5C">
        <w:rPr>
          <w:rFonts w:ascii="Book Antiqua" w:hAnsi="Book Antiqua"/>
          <w:lang w:eastAsia="en-ID"/>
        </w:rPr>
        <w:t xml:space="preserve">, however, offers no automatic guarantee of accurate targeting. Masiero and Das (2019) caution that moving anti-poverty </w:t>
      </w:r>
      <w:proofErr w:type="spellStart"/>
      <w:r w:rsidRPr="00355E5C">
        <w:rPr>
          <w:rFonts w:ascii="Book Antiqua" w:hAnsi="Book Antiqua"/>
          <w:lang w:eastAsia="en-ID"/>
        </w:rPr>
        <w:t>programmes</w:t>
      </w:r>
      <w:proofErr w:type="spellEnd"/>
      <w:r w:rsidRPr="00355E5C">
        <w:rPr>
          <w:rFonts w:ascii="Book Antiqua" w:hAnsi="Book Antiqua"/>
          <w:lang w:eastAsia="en-ID"/>
        </w:rPr>
        <w:t xml:space="preserve"> into the realm of data may itself generate data justice problems whenever verification at the community level is bypassed. The World Bank (2022) arrives at a comparable conclusion, positioning the quality of beneficiary data as the decisive factor in targeting performance, particularly under the </w:t>
      </w:r>
      <w:r w:rsidRPr="00355E5C">
        <w:rPr>
          <w:rFonts w:ascii="Book Antiqua" w:hAnsi="Book Antiqua"/>
          <w:i/>
          <w:iCs/>
          <w:lang w:eastAsia="en-ID"/>
        </w:rPr>
        <w:t>proxy means test</w:t>
      </w:r>
      <w:r w:rsidRPr="00355E5C">
        <w:rPr>
          <w:rFonts w:ascii="Book Antiqua" w:hAnsi="Book Antiqua"/>
          <w:lang w:eastAsia="en-ID"/>
        </w:rPr>
        <w:t xml:space="preserve"> approach that estimates household welfare through indirect indicators such as housing condition, asset ownership, and family composition.</w:t>
      </w:r>
    </w:p>
    <w:p w14:paraId="5D77EACC"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same problem has surfaced in the administration of social assistance in Indonesia. For more than a decade, eligibility for the Family Hope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w:t>
      </w:r>
      <w:r w:rsidRPr="00355E5C">
        <w:rPr>
          <w:rFonts w:ascii="Book Antiqua" w:hAnsi="Book Antiqua"/>
          <w:i/>
          <w:iCs/>
          <w:lang w:eastAsia="en-ID"/>
        </w:rPr>
        <w:t xml:space="preserve">Program </w:t>
      </w:r>
      <w:proofErr w:type="spellStart"/>
      <w:r w:rsidRPr="00355E5C">
        <w:rPr>
          <w:rFonts w:ascii="Book Antiqua" w:hAnsi="Book Antiqua"/>
          <w:i/>
          <w:iCs/>
          <w:lang w:eastAsia="en-ID"/>
        </w:rPr>
        <w:t>Keluarga</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Harapan</w:t>
      </w:r>
      <w:proofErr w:type="spellEnd"/>
      <w:r w:rsidRPr="00355E5C">
        <w:rPr>
          <w:rFonts w:ascii="Book Antiqua" w:hAnsi="Book Antiqua"/>
          <w:lang w:eastAsia="en-ID"/>
        </w:rPr>
        <w:t xml:space="preserve">/PKH), the staple food assistance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w:t>
      </w:r>
      <w:proofErr w:type="spellStart"/>
      <w:r w:rsidRPr="00355E5C">
        <w:rPr>
          <w:rFonts w:ascii="Book Antiqua" w:hAnsi="Book Antiqua"/>
          <w:lang w:eastAsia="en-ID"/>
        </w:rPr>
        <w:t>Sembako</w:t>
      </w:r>
      <w:proofErr w:type="spellEnd"/>
      <w:r w:rsidRPr="00355E5C">
        <w:rPr>
          <w:rFonts w:ascii="Book Antiqua" w:hAnsi="Book Antiqua"/>
          <w:lang w:eastAsia="en-ID"/>
        </w:rPr>
        <w:t xml:space="preserve">), and the </w:t>
      </w:r>
      <w:proofErr w:type="spellStart"/>
      <w:r w:rsidRPr="00355E5C">
        <w:rPr>
          <w:rFonts w:ascii="Book Antiqua" w:hAnsi="Book Antiqua"/>
          <w:lang w:eastAsia="en-ID"/>
        </w:rPr>
        <w:t>subsidised</w:t>
      </w:r>
      <w:proofErr w:type="spellEnd"/>
      <w:r w:rsidRPr="00355E5C">
        <w:rPr>
          <w:rFonts w:ascii="Book Antiqua" w:hAnsi="Book Antiqua"/>
          <w:lang w:eastAsia="en-ID"/>
        </w:rPr>
        <w:t xml:space="preserve"> National Health Insurance scheme (JKN </w:t>
      </w:r>
      <w:proofErr w:type="spellStart"/>
      <w:r w:rsidRPr="00355E5C">
        <w:rPr>
          <w:rFonts w:ascii="Book Antiqua" w:hAnsi="Book Antiqua"/>
          <w:i/>
          <w:iCs/>
          <w:lang w:eastAsia="en-ID"/>
        </w:rPr>
        <w:t>Penerima</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Bantuan</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Iuran</w:t>
      </w:r>
      <w:proofErr w:type="spellEnd"/>
      <w:r w:rsidRPr="00355E5C">
        <w:rPr>
          <w:rFonts w:ascii="Book Antiqua" w:hAnsi="Book Antiqua"/>
          <w:lang w:eastAsia="en-ID"/>
        </w:rPr>
        <w:t>/JKN PBI) rested on the Integrated Social Welfare Data system (</w:t>
      </w:r>
      <w:r w:rsidRPr="00355E5C">
        <w:rPr>
          <w:rFonts w:ascii="Book Antiqua" w:hAnsi="Book Antiqua"/>
          <w:i/>
          <w:iCs/>
          <w:lang w:eastAsia="en-ID"/>
        </w:rPr>
        <w:t xml:space="preserve">Data </w:t>
      </w:r>
      <w:proofErr w:type="spellStart"/>
      <w:r w:rsidRPr="00355E5C">
        <w:rPr>
          <w:rFonts w:ascii="Book Antiqua" w:hAnsi="Book Antiqua"/>
          <w:i/>
          <w:iCs/>
          <w:lang w:eastAsia="en-ID"/>
        </w:rPr>
        <w:t>Terpadu</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Kesejahteraan</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Sosial</w:t>
      </w:r>
      <w:proofErr w:type="spellEnd"/>
      <w:r w:rsidRPr="00355E5C">
        <w:rPr>
          <w:rFonts w:ascii="Book Antiqua" w:hAnsi="Book Antiqua"/>
          <w:lang w:eastAsia="en-ID"/>
        </w:rPr>
        <w:t>/DTKS). Successive studies have documented recurring accuracy defects within that database: deceased recipients still listed as active, duplicated identities, and economically secure households remaining registered as poor (</w:t>
      </w: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et al., 2025). Yusup et al. (2026) go further, recording inclusion error in the range of 20–30 per cent and exclusion error of 30–40 per cent within the social assistance data system in Jakarta. The two forms of error operate asymmetrically yet prove equally damaging: the first channels public funds toward households that do not qualify, while the second leaves the most vulnerable groups entirely outside the reach of the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w:t>
      </w:r>
      <w:proofErr w:type="spellStart"/>
      <w:r w:rsidRPr="00355E5C">
        <w:rPr>
          <w:rFonts w:ascii="Book Antiqua" w:hAnsi="Book Antiqua"/>
          <w:lang w:eastAsia="en-ID"/>
        </w:rPr>
        <w:t>Manoppo</w:t>
      </w:r>
      <w:proofErr w:type="spellEnd"/>
      <w:r w:rsidRPr="00355E5C">
        <w:rPr>
          <w:rFonts w:ascii="Book Antiqua" w:hAnsi="Book Antiqua"/>
          <w:lang w:eastAsia="en-ID"/>
        </w:rPr>
        <w:t xml:space="preserve"> and </w:t>
      </w:r>
      <w:proofErr w:type="spellStart"/>
      <w:r w:rsidRPr="00355E5C">
        <w:rPr>
          <w:rFonts w:ascii="Book Antiqua" w:hAnsi="Book Antiqua"/>
          <w:lang w:eastAsia="en-ID"/>
        </w:rPr>
        <w:t>Laoh</w:t>
      </w:r>
      <w:proofErr w:type="spellEnd"/>
      <w:r w:rsidRPr="00355E5C">
        <w:rPr>
          <w:rFonts w:ascii="Book Antiqua" w:hAnsi="Book Antiqua"/>
          <w:lang w:eastAsia="en-ID"/>
        </w:rPr>
        <w:t xml:space="preserve"> (2022) together with </w:t>
      </w:r>
      <w:proofErr w:type="spellStart"/>
      <w:r w:rsidRPr="00355E5C">
        <w:rPr>
          <w:rFonts w:ascii="Book Antiqua" w:hAnsi="Book Antiqua"/>
          <w:lang w:eastAsia="en-ID"/>
        </w:rPr>
        <w:t>Widyaningsih</w:t>
      </w:r>
      <w:proofErr w:type="spellEnd"/>
      <w:r w:rsidRPr="00355E5C">
        <w:rPr>
          <w:rFonts w:ascii="Book Antiqua" w:hAnsi="Book Antiqua"/>
          <w:lang w:eastAsia="en-ID"/>
        </w:rPr>
        <w:t xml:space="preserve"> et al. (2023) underline that local institutional capacity and the continuity of data updating are the levers capable of breaking this cycle.</w:t>
      </w:r>
    </w:p>
    <w:p w14:paraId="5C778314"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Responding to these shortcomings, the government issued Presidential Instruction Number 4 of 2025, which established the National Socio-Economic Single Data system (</w:t>
      </w:r>
      <w:r w:rsidRPr="00355E5C">
        <w:rPr>
          <w:rFonts w:ascii="Book Antiqua" w:hAnsi="Book Antiqua"/>
          <w:i/>
          <w:iCs/>
          <w:lang w:eastAsia="en-ID"/>
        </w:rPr>
        <w:t xml:space="preserve">Data Tunggal </w:t>
      </w:r>
      <w:proofErr w:type="spellStart"/>
      <w:r w:rsidRPr="00355E5C">
        <w:rPr>
          <w:rFonts w:ascii="Book Antiqua" w:hAnsi="Book Antiqua"/>
          <w:i/>
          <w:iCs/>
          <w:lang w:eastAsia="en-ID"/>
        </w:rPr>
        <w:t>Sosial</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Ekonomi</w:t>
      </w:r>
      <w:proofErr w:type="spellEnd"/>
      <w:r w:rsidRPr="00355E5C">
        <w:rPr>
          <w:rFonts w:ascii="Book Antiqua" w:hAnsi="Book Antiqua"/>
          <w:i/>
          <w:iCs/>
          <w:lang w:eastAsia="en-ID"/>
        </w:rPr>
        <w:t xml:space="preserve"> Nasional</w:t>
      </w:r>
      <w:r w:rsidRPr="00355E5C">
        <w:rPr>
          <w:rFonts w:ascii="Book Antiqua" w:hAnsi="Book Antiqua"/>
          <w:lang w:eastAsia="en-ID"/>
        </w:rPr>
        <w:t xml:space="preserve">/DTSEN) as the sole reference for assistance distribution, superseding DTKS. The fundamental difference between the two lies in coverage: DTKS enumerated only those citizens classified as requiring social welfare services, whereas DTSEN ranks the entire population across ten welfare deciles, so that an individual's eligibility follows directly from their decile position (Kementerian </w:t>
      </w:r>
      <w:proofErr w:type="spellStart"/>
      <w:r w:rsidRPr="00355E5C">
        <w:rPr>
          <w:rFonts w:ascii="Book Antiqua" w:hAnsi="Book Antiqua"/>
          <w:lang w:eastAsia="en-ID"/>
        </w:rPr>
        <w:t>Sosial</w:t>
      </w:r>
      <w:proofErr w:type="spellEnd"/>
      <w:r w:rsidRPr="00355E5C">
        <w:rPr>
          <w:rFonts w:ascii="Book Antiqua" w:hAnsi="Book Antiqua"/>
          <w:lang w:eastAsia="en-ID"/>
        </w:rPr>
        <w:t xml:space="preserve"> RI, 2025). Operationally, DTSEN runs through the Next Generation Social Welfare Information System (SIKS-NG) along a tiered chain of implementers extending from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units, urban villages, and district social agencies up to the ministry, complemented by a self-service participation channel through the </w:t>
      </w:r>
      <w:proofErr w:type="spellStart"/>
      <w:r w:rsidRPr="00355E5C">
        <w:rPr>
          <w:rFonts w:ascii="Book Antiqua" w:hAnsi="Book Antiqua"/>
          <w:i/>
          <w:iCs/>
          <w:lang w:eastAsia="en-ID"/>
        </w:rPr>
        <w:t>Cek</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Bansos</w:t>
      </w:r>
      <w:proofErr w:type="spellEnd"/>
      <w:r w:rsidRPr="00355E5C">
        <w:rPr>
          <w:rFonts w:ascii="Book Antiqua" w:hAnsi="Book Antiqua"/>
          <w:lang w:eastAsia="en-ID"/>
        </w:rPr>
        <w:t xml:space="preserve"> application. This layered design means that the success of DTSEN </w:t>
      </w:r>
      <w:r w:rsidRPr="00355E5C">
        <w:rPr>
          <w:rFonts w:ascii="Book Antiqua" w:hAnsi="Book Antiqua"/>
          <w:lang w:eastAsia="en-ID"/>
        </w:rPr>
        <w:lastRenderedPageBreak/>
        <w:t>depends far less on the sophistication of the central system than on how faithfully the policy is translated by frontline actors at the lowest administrative tier.</w:t>
      </w:r>
    </w:p>
    <w:p w14:paraId="6FEC707A"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Bogor City presents a compelling case for examining this question empirically. Data from the Bogor City Social Affairs Agency indicate that 463,466 residents fall within Deciles 1–5, yet 168,781 of them, roughly 36.4 per cent, have received no social assistance whatsoever. The gap narrows into three flagship </w:t>
      </w:r>
      <w:proofErr w:type="spellStart"/>
      <w:r w:rsidRPr="00355E5C">
        <w:rPr>
          <w:rFonts w:ascii="Book Antiqua" w:hAnsi="Book Antiqua"/>
          <w:lang w:eastAsia="en-ID"/>
        </w:rPr>
        <w:t>programmes</w:t>
      </w:r>
      <w:proofErr w:type="spellEnd"/>
      <w:r w:rsidRPr="00355E5C">
        <w:rPr>
          <w:rFonts w:ascii="Book Antiqua" w:hAnsi="Book Antiqua"/>
          <w:lang w:eastAsia="en-ID"/>
        </w:rPr>
        <w:t xml:space="preserve">: PKH reaches only 80,401 of the 362,883 eligible residents, </w:t>
      </w:r>
      <w:proofErr w:type="spellStart"/>
      <w:r w:rsidRPr="00355E5C">
        <w:rPr>
          <w:rFonts w:ascii="Book Antiqua" w:hAnsi="Book Antiqua"/>
          <w:lang w:eastAsia="en-ID"/>
        </w:rPr>
        <w:t>Sembako</w:t>
      </w:r>
      <w:proofErr w:type="spellEnd"/>
      <w:r w:rsidRPr="00355E5C">
        <w:rPr>
          <w:rFonts w:ascii="Book Antiqua" w:hAnsi="Book Antiqua"/>
          <w:lang w:eastAsia="en-ID"/>
        </w:rPr>
        <w:t xml:space="preserve"> 146,710 of 463,460, and JKN PBI 263,271 of 463,460. The sharpest coverage deficits appear in Bogor Selatan and Bogor Barat, the two sub-districts with the highest concentration of the lowest welfare groups. These figures suggest that the obstacle to distribution is not fiscal scarcity alone, but a misalignment between the target data produced by decile ranking and the </w:t>
      </w:r>
      <w:proofErr w:type="spellStart"/>
      <w:r w:rsidRPr="00355E5C">
        <w:rPr>
          <w:rFonts w:ascii="Book Antiqua" w:hAnsi="Book Antiqua"/>
          <w:lang w:eastAsia="en-ID"/>
        </w:rPr>
        <w:t>realisation</w:t>
      </w:r>
      <w:proofErr w:type="spellEnd"/>
      <w:r w:rsidRPr="00355E5C">
        <w:rPr>
          <w:rFonts w:ascii="Book Antiqua" w:hAnsi="Book Antiqua"/>
          <w:lang w:eastAsia="en-ID"/>
        </w:rPr>
        <w:t xml:space="preserve"> of delivery on the ground.</w:t>
      </w:r>
    </w:p>
    <w:p w14:paraId="5CA3ECD5"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Existing scholarship still </w:t>
      </w:r>
      <w:proofErr w:type="spellStart"/>
      <w:r w:rsidRPr="00355E5C">
        <w:rPr>
          <w:rFonts w:ascii="Book Antiqua" w:hAnsi="Book Antiqua"/>
          <w:lang w:eastAsia="en-ID"/>
        </w:rPr>
        <w:t>centres</w:t>
      </w:r>
      <w:proofErr w:type="spellEnd"/>
      <w:r w:rsidRPr="00355E5C">
        <w:rPr>
          <w:rFonts w:ascii="Book Antiqua" w:hAnsi="Book Antiqua"/>
          <w:lang w:eastAsia="en-ID"/>
        </w:rPr>
        <w:t xml:space="preserve"> on DTKS, whether in relation to its </w:t>
      </w:r>
      <w:proofErr w:type="spellStart"/>
      <w:r w:rsidRPr="00355E5C">
        <w:rPr>
          <w:rFonts w:ascii="Book Antiqua" w:hAnsi="Book Antiqua"/>
          <w:lang w:eastAsia="en-ID"/>
        </w:rPr>
        <w:t>utilisation</w:t>
      </w:r>
      <w:proofErr w:type="spellEnd"/>
      <w:r w:rsidRPr="00355E5C">
        <w:rPr>
          <w:rFonts w:ascii="Book Antiqua" w:hAnsi="Book Antiqua"/>
          <w:lang w:eastAsia="en-ID"/>
        </w:rPr>
        <w:t xml:space="preserve"> by social affairs agencies (</w:t>
      </w:r>
      <w:proofErr w:type="spellStart"/>
      <w:r w:rsidRPr="00355E5C">
        <w:rPr>
          <w:rFonts w:ascii="Book Antiqua" w:hAnsi="Book Antiqua"/>
          <w:lang w:eastAsia="en-ID"/>
        </w:rPr>
        <w:t>Manoppo</w:t>
      </w:r>
      <w:proofErr w:type="spellEnd"/>
      <w:r w:rsidRPr="00355E5C">
        <w:rPr>
          <w:rFonts w:ascii="Book Antiqua" w:hAnsi="Book Antiqua"/>
          <w:lang w:eastAsia="en-ID"/>
        </w:rPr>
        <w:t xml:space="preserve"> &amp; </w:t>
      </w:r>
      <w:proofErr w:type="spellStart"/>
      <w:r w:rsidRPr="00355E5C">
        <w:rPr>
          <w:rFonts w:ascii="Book Antiqua" w:hAnsi="Book Antiqua"/>
          <w:lang w:eastAsia="en-ID"/>
        </w:rPr>
        <w:t>Laoh</w:t>
      </w:r>
      <w:proofErr w:type="spellEnd"/>
      <w:r w:rsidRPr="00355E5C">
        <w:rPr>
          <w:rFonts w:ascii="Book Antiqua" w:hAnsi="Book Antiqua"/>
          <w:lang w:eastAsia="en-ID"/>
        </w:rPr>
        <w:t>, 2022), the urgency of updating it at the regional level (</w:t>
      </w:r>
      <w:proofErr w:type="spellStart"/>
      <w:r w:rsidRPr="00355E5C">
        <w:rPr>
          <w:rFonts w:ascii="Book Antiqua" w:hAnsi="Book Antiqua"/>
          <w:lang w:eastAsia="en-ID"/>
        </w:rPr>
        <w:t>Widyaningsih</w:t>
      </w:r>
      <w:proofErr w:type="spellEnd"/>
      <w:r w:rsidRPr="00355E5C">
        <w:rPr>
          <w:rFonts w:ascii="Book Antiqua" w:hAnsi="Book Antiqua"/>
          <w:lang w:eastAsia="en-ID"/>
        </w:rPr>
        <w:t xml:space="preserve"> et al., 2023), the accuracy of recipient records in municipal settings (</w:t>
      </w: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et al., 2025), or the accountability of its data systems (Yusup et al., 2026). Research addressing DTSEN implementation specifically, a policy that took effect only in 2025 and remains within a phased transition period through 2026, is practically absent, let alone with Bogor City as its locus. This absence is not merely thematic but temporal: the interval of database migration constitutes the most precarious and simultaneously the most revealing moment for observing how local bureaucracies recalibrate their working procedures.</w:t>
      </w:r>
    </w:p>
    <w:p w14:paraId="17C1929B"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Building on these conditions, this study adopts the policy implementation model of Edwards III (1980), which identifies communication, resources, disposition, and bureaucratic structure as the four determinants of implementation success. The model was selected for its operational character and its capacity to trace inter-tier dynamics directly through interviews and observation. The contribution of this article is twofold. Theoretically, the study tests the explanatory reach of a conventional implementation model when applied to a digitally mediated policy, while identifying the dimensions requiring enrichment, particularly the role of street-level bureaucracy under the </w:t>
      </w:r>
      <w:proofErr w:type="spellStart"/>
      <w:r w:rsidRPr="00355E5C">
        <w:rPr>
          <w:rFonts w:ascii="Book Antiqua" w:hAnsi="Book Antiqua"/>
          <w:lang w:eastAsia="en-ID"/>
        </w:rPr>
        <w:t>digitalisation</w:t>
      </w:r>
      <w:proofErr w:type="spellEnd"/>
      <w:r w:rsidRPr="00355E5C">
        <w:rPr>
          <w:rFonts w:ascii="Book Antiqua" w:hAnsi="Book Antiqua"/>
          <w:lang w:eastAsia="en-ID"/>
        </w:rPr>
        <w:t xml:space="preserve"> of public services. Empirically, it supplies early evidence on DTSEN implementation drawn from a distinctive sample: a city exhibiting a wide assistance coverage gap despite a moderate poverty rate. That sample characteristic opens the possibility of findings not explicable through budget-constraint reasoning, and practically yields </w:t>
      </w:r>
      <w:proofErr w:type="spellStart"/>
      <w:r w:rsidRPr="00355E5C">
        <w:rPr>
          <w:rFonts w:ascii="Book Antiqua" w:hAnsi="Book Antiqua"/>
          <w:lang w:eastAsia="en-ID"/>
        </w:rPr>
        <w:t>optimisation</w:t>
      </w:r>
      <w:proofErr w:type="spellEnd"/>
      <w:r w:rsidRPr="00355E5C">
        <w:rPr>
          <w:rFonts w:ascii="Book Antiqua" w:hAnsi="Book Antiqua"/>
          <w:lang w:eastAsia="en-ID"/>
        </w:rPr>
        <w:t xml:space="preserve"> strategies transferable to regions sharing comparable profiles.</w:t>
      </w:r>
    </w:p>
    <w:p w14:paraId="651262E4" w14:textId="77777777" w:rsidR="003A22C8" w:rsidRDefault="003A22C8">
      <w:pPr>
        <w:spacing w:after="0" w:line="240" w:lineRule="auto"/>
        <w:rPr>
          <w:rFonts w:ascii="Book Antiqua" w:eastAsia="Book Antiqua" w:hAnsi="Book Antiqua" w:cs="Book Antiqua"/>
          <w:b/>
          <w:sz w:val="24"/>
          <w:szCs w:val="24"/>
        </w:rPr>
      </w:pPr>
    </w:p>
    <w:p w14:paraId="4E64A1EC" w14:textId="5D5C791D" w:rsidR="003A22C8" w:rsidRDefault="0038031F">
      <w:pPr>
        <w:spacing w:after="0" w:line="240" w:lineRule="auto"/>
        <w:rPr>
          <w:rFonts w:ascii="Book Antiqua" w:eastAsia="Book Antiqua" w:hAnsi="Book Antiqua" w:cs="Book Antiqua"/>
          <w:b/>
          <w:sz w:val="24"/>
          <w:szCs w:val="24"/>
        </w:rPr>
      </w:pPr>
      <w:r>
        <w:rPr>
          <w:rFonts w:ascii="Book Antiqua" w:eastAsia="Book Antiqua" w:hAnsi="Book Antiqua" w:cs="Book Antiqua"/>
          <w:b/>
          <w:sz w:val="24"/>
          <w:szCs w:val="24"/>
        </w:rPr>
        <w:t>LITERATURE REVIEW</w:t>
      </w:r>
    </w:p>
    <w:p w14:paraId="2CDA2A5D" w14:textId="77777777"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Prior Studies on Welfare Data and Assistance Delivery</w:t>
      </w:r>
    </w:p>
    <w:p w14:paraId="489808B4"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Scholarship on welfare data governance in Indonesia has accumulated steadily over the past five years, yet </w:t>
      </w:r>
      <w:proofErr w:type="gramStart"/>
      <w:r w:rsidRPr="00355E5C">
        <w:rPr>
          <w:rFonts w:ascii="Book Antiqua" w:hAnsi="Book Antiqua"/>
          <w:lang w:eastAsia="en-ID"/>
        </w:rPr>
        <w:t>it</w:t>
      </w:r>
      <w:proofErr w:type="gramEnd"/>
      <w:r w:rsidRPr="00355E5C">
        <w:rPr>
          <w:rFonts w:ascii="Book Antiqua" w:hAnsi="Book Antiqua"/>
          <w:lang w:eastAsia="en-ID"/>
        </w:rPr>
        <w:t xml:space="preserve"> clusters around a single object of inquiry. </w:t>
      </w: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et al. (2025), working through an empirical-juridical lens in Semarang, documented recipient records that no longer corresponded to reality: households </w:t>
      </w:r>
      <w:r w:rsidRPr="00355E5C">
        <w:rPr>
          <w:rFonts w:ascii="Book Antiqua" w:hAnsi="Book Antiqua"/>
          <w:lang w:eastAsia="en-ID"/>
        </w:rPr>
        <w:lastRenderedPageBreak/>
        <w:t xml:space="preserve">that had relocated, individuals long deceased, and economically secure families still counted as eligible, compounded by weak inter-agency coordination and low citizen literacy in reporting changes. Yusup et al. (2026) quantified the consequences in Jakarta, recording inclusion error between 20 and 30 per cent alongside exclusion error reaching 30 to 40 per cent, and traced part of the problem to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-level validation carried out without any </w:t>
      </w:r>
      <w:proofErr w:type="spellStart"/>
      <w:r w:rsidRPr="00355E5C">
        <w:rPr>
          <w:rFonts w:ascii="Book Antiqua" w:hAnsi="Book Antiqua"/>
          <w:lang w:eastAsia="en-ID"/>
        </w:rPr>
        <w:t>standardised</w:t>
      </w:r>
      <w:proofErr w:type="spellEnd"/>
      <w:r w:rsidRPr="00355E5C">
        <w:rPr>
          <w:rFonts w:ascii="Book Antiqua" w:hAnsi="Book Antiqua"/>
          <w:lang w:eastAsia="en-ID"/>
        </w:rPr>
        <w:t xml:space="preserve"> protocol.</w:t>
      </w:r>
    </w:p>
    <w:p w14:paraId="0B92AFD8" w14:textId="77777777" w:rsidR="003A22C8" w:rsidRPr="00355E5C" w:rsidRDefault="003A22C8" w:rsidP="003A22C8">
      <w:pPr>
        <w:pStyle w:val="NoSpacing"/>
        <w:ind w:firstLine="720"/>
        <w:jc w:val="both"/>
        <w:rPr>
          <w:rFonts w:ascii="Book Antiqua" w:hAnsi="Book Antiqua"/>
          <w:lang w:eastAsia="en-ID"/>
        </w:rPr>
      </w:pPr>
      <w:proofErr w:type="spellStart"/>
      <w:r w:rsidRPr="00355E5C">
        <w:rPr>
          <w:rFonts w:ascii="Book Antiqua" w:hAnsi="Book Antiqua"/>
          <w:lang w:eastAsia="en-ID"/>
        </w:rPr>
        <w:t>Widyaningsih</w:t>
      </w:r>
      <w:proofErr w:type="spellEnd"/>
      <w:r w:rsidRPr="00355E5C">
        <w:rPr>
          <w:rFonts w:ascii="Book Antiqua" w:hAnsi="Book Antiqua"/>
          <w:lang w:eastAsia="en-ID"/>
        </w:rPr>
        <w:t xml:space="preserve"> et al. (2023), surveying six regions, concluded that continuous and high-quality data updating had become an urgent obligation for subnational governments rather than an optional administrative routine. What unites these contributions is their diagnostic character: each identifies malfunction within the previous integrated welfare database, but none follows the policy that replaced it. International scholarship supplies a complementary caution. Masiero and Das (2019), examining the datafication of anti-poverty </w:t>
      </w:r>
      <w:proofErr w:type="spellStart"/>
      <w:r w:rsidRPr="00355E5C">
        <w:rPr>
          <w:rFonts w:ascii="Book Antiqua" w:hAnsi="Book Antiqua"/>
          <w:lang w:eastAsia="en-ID"/>
        </w:rPr>
        <w:t>programmes</w:t>
      </w:r>
      <w:proofErr w:type="spellEnd"/>
      <w:r w:rsidRPr="00355E5C">
        <w:rPr>
          <w:rFonts w:ascii="Book Antiqua" w:hAnsi="Book Antiqua"/>
          <w:lang w:eastAsia="en-ID"/>
        </w:rPr>
        <w:t>, argued that substituting digital systems for community-based verification generates data justice problems, since citizens lose the social channels through which errors were formerly contested. Taken together, the literature converges on a diagnosis while leaving the implementation of a successor policy unexamined, and no study to date has taken Bogor City as its locus. This threefold absence, substantive, theoretical, and geographical, defines the space this article occupies.</w:t>
      </w:r>
    </w:p>
    <w:p w14:paraId="31D494A8" w14:textId="77777777" w:rsidR="003A22C8" w:rsidRDefault="003A22C8" w:rsidP="003A22C8">
      <w:pPr>
        <w:pStyle w:val="NoSpacing"/>
        <w:jc w:val="both"/>
        <w:rPr>
          <w:rFonts w:ascii="Book Antiqua" w:hAnsi="Book Antiqua"/>
          <w:i/>
          <w:iCs/>
          <w:lang w:eastAsia="en-ID"/>
        </w:rPr>
      </w:pPr>
    </w:p>
    <w:p w14:paraId="1570ABC4" w14:textId="09C6FC95"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Digital Welfare, Data Governance, and Data-Driven Targeting</w:t>
      </w:r>
    </w:p>
    <w:p w14:paraId="1E7A3DD2"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Recent scholarship has increasingly examined how digital transformation reshapes welfare delivery and the governance challenges it introduces. Henman (2022) argues that automated decision-making in social protection shifts discretion from human actors to algorithmic processes, creating a new accountability deficit where neither citizens nor frontline officials fully understand how eligibility outcomes are produced. Dencik et al. (2022) extend this analysis by demonstrating that data-driven welfare systems embed pre-existing institutional biases into their classification logic, so that </w:t>
      </w:r>
      <w:proofErr w:type="spellStart"/>
      <w:r w:rsidRPr="00355E5C">
        <w:rPr>
          <w:rFonts w:ascii="Book Antiqua" w:hAnsi="Book Antiqua"/>
          <w:lang w:eastAsia="en-ID"/>
        </w:rPr>
        <w:t>digitalisation</w:t>
      </w:r>
      <w:proofErr w:type="spellEnd"/>
      <w:r w:rsidRPr="00355E5C">
        <w:rPr>
          <w:rFonts w:ascii="Book Antiqua" w:hAnsi="Book Antiqua"/>
          <w:lang w:eastAsia="en-ID"/>
        </w:rPr>
        <w:t xml:space="preserve"> risks reproducing rather than resolving the inequities it was designed to address.</w:t>
      </w:r>
    </w:p>
    <w:p w14:paraId="52A25CEE" w14:textId="77777777" w:rsidR="003A22C8" w:rsidRPr="00355E5C" w:rsidRDefault="003A22C8" w:rsidP="003A22C8">
      <w:pPr>
        <w:pStyle w:val="NoSpacing"/>
        <w:jc w:val="both"/>
        <w:rPr>
          <w:rFonts w:ascii="Book Antiqua" w:hAnsi="Book Antiqua"/>
          <w:lang w:eastAsia="en-ID"/>
        </w:rPr>
      </w:pPr>
      <w:r w:rsidRPr="00355E5C">
        <w:rPr>
          <w:rFonts w:ascii="Book Antiqua" w:hAnsi="Book Antiqua"/>
          <w:lang w:eastAsia="en-ID"/>
        </w:rPr>
        <w:t>On the governance side, Janssen et al. (2022) propose that effective data governance in the public sector requires not merely technical interoperability but institutional trust, defined as shared expectations among agencies regarding data quality standards, access protocols, and correction mechanisms. Their framework is pertinent to DTSEN because the system depends on data matching across multiple source databases, namely Regsosek, P3KE, DTKS, and civil registration records, a process whose reliability rests on the governance arrangements governing each source rather than on the integrating platform alone. Poel et al. (2023) reinforce this point by showing that data quality in government registries deteriorates predictably when updating responsibilities are distributed across tiers without binding procedural standards, a condition directly observable in the present study.</w:t>
      </w:r>
    </w:p>
    <w:p w14:paraId="39D406C7"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In the specific domain of social assistance targeting, Kidd et al. (2024) offer a comprehensive assessment of </w:t>
      </w:r>
      <w:r w:rsidRPr="00355E5C">
        <w:rPr>
          <w:rFonts w:ascii="Book Antiqua" w:hAnsi="Book Antiqua"/>
          <w:i/>
          <w:iCs/>
          <w:lang w:eastAsia="en-ID"/>
        </w:rPr>
        <w:t>proxy means testing</w:t>
      </w:r>
      <w:r w:rsidRPr="00355E5C">
        <w:rPr>
          <w:rFonts w:ascii="Book Antiqua" w:hAnsi="Book Antiqua"/>
          <w:lang w:eastAsia="en-ID"/>
        </w:rPr>
        <w:t xml:space="preserve"> in low- and middle-income countries, concluding that even well-designed targeting instruments generate </w:t>
      </w:r>
      <w:r w:rsidRPr="00355E5C">
        <w:rPr>
          <w:rFonts w:ascii="Book Antiqua" w:hAnsi="Book Antiqua"/>
          <w:lang w:eastAsia="en-ID"/>
        </w:rPr>
        <w:lastRenderedPageBreak/>
        <w:t xml:space="preserve">systematic exclusion when local verification capacity is weak. Their finding aligns with the World Bank (2022) assessment that beneficiary data quality, rather than targeting methodology, constitutes the binding constraint on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performance. Kuhn and Stillman (2023) add an implementation dimension by documenting how the transition from one national registry to another in post-Soviet states produced a temporary widening of coverage gaps, attributable not to the design of the successor system but to the administrative disruption of migration itself, a dynamic with clear parallels to the DTKS-to-DTSEN transition examined here. Collectively, these contributions establish that digital welfare systems require governance arrangements commensurate with their technical complexity, and that transition periods between registry systems constitute moments of heightened implementation risk demanding particular attention to procedural clarity and frontline capacity.</w:t>
      </w:r>
    </w:p>
    <w:p w14:paraId="1634AB0C" w14:textId="77777777" w:rsidR="003A22C8" w:rsidRDefault="003A22C8" w:rsidP="003A22C8">
      <w:pPr>
        <w:pStyle w:val="NoSpacing"/>
        <w:jc w:val="both"/>
        <w:rPr>
          <w:rFonts w:ascii="Book Antiqua" w:hAnsi="Book Antiqua"/>
          <w:i/>
          <w:iCs/>
          <w:lang w:eastAsia="en-ID"/>
        </w:rPr>
      </w:pPr>
    </w:p>
    <w:p w14:paraId="1614E4DA" w14:textId="4357B12C"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Policy Implementation and the Edwards III Model</w:t>
      </w:r>
    </w:p>
    <w:p w14:paraId="3A9C2988"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Policy acquires meaning only when translated into concrete administrative action, and implementation studies have generated several competing frameworks for explaining why that translation succeeds or fails. Top-down models </w:t>
      </w:r>
      <w:proofErr w:type="spellStart"/>
      <w:r w:rsidRPr="00355E5C">
        <w:rPr>
          <w:rFonts w:ascii="Book Antiqua" w:hAnsi="Book Antiqua"/>
          <w:lang w:eastAsia="en-ID"/>
        </w:rPr>
        <w:t>emphasising</w:t>
      </w:r>
      <w:proofErr w:type="spellEnd"/>
      <w:r w:rsidRPr="00355E5C">
        <w:rPr>
          <w:rFonts w:ascii="Book Antiqua" w:hAnsi="Book Antiqua"/>
          <w:lang w:eastAsia="en-ID"/>
        </w:rPr>
        <w:t xml:space="preserve"> policy standards, resources, and inter-</w:t>
      </w:r>
      <w:proofErr w:type="spellStart"/>
      <w:r w:rsidRPr="00355E5C">
        <w:rPr>
          <w:rFonts w:ascii="Book Antiqua" w:hAnsi="Book Antiqua"/>
          <w:lang w:eastAsia="en-ID"/>
        </w:rPr>
        <w:t>organisational</w:t>
      </w:r>
      <w:proofErr w:type="spellEnd"/>
      <w:r w:rsidRPr="00355E5C">
        <w:rPr>
          <w:rFonts w:ascii="Book Antiqua" w:hAnsi="Book Antiqua"/>
          <w:lang w:eastAsia="en-ID"/>
        </w:rPr>
        <w:t xml:space="preserve"> communication offer breadth but distribute explanatory weight across overlapping variables that resist </w:t>
      </w:r>
      <w:proofErr w:type="spellStart"/>
      <w:r w:rsidRPr="00355E5C">
        <w:rPr>
          <w:rFonts w:ascii="Book Antiqua" w:hAnsi="Book Antiqua"/>
          <w:lang w:eastAsia="en-ID"/>
        </w:rPr>
        <w:t>operationalisation</w:t>
      </w:r>
      <w:proofErr w:type="spellEnd"/>
      <w:r w:rsidRPr="00355E5C">
        <w:rPr>
          <w:rFonts w:ascii="Book Antiqua" w:hAnsi="Book Antiqua"/>
          <w:lang w:eastAsia="en-ID"/>
        </w:rPr>
        <w:t xml:space="preserve"> in small-scale qualitative work. Frameworks </w:t>
      </w:r>
      <w:proofErr w:type="spellStart"/>
      <w:r w:rsidRPr="00355E5C">
        <w:rPr>
          <w:rFonts w:ascii="Book Antiqua" w:hAnsi="Book Antiqua"/>
          <w:lang w:eastAsia="en-ID"/>
        </w:rPr>
        <w:t>centred</w:t>
      </w:r>
      <w:proofErr w:type="spellEnd"/>
      <w:r w:rsidRPr="00355E5C">
        <w:rPr>
          <w:rFonts w:ascii="Book Antiqua" w:hAnsi="Book Antiqua"/>
          <w:lang w:eastAsia="en-ID"/>
        </w:rPr>
        <w:t xml:space="preserve"> on problem tractability illuminate why certain policies are inherently difficult to enact, yet supply few indicators traceable through fieldwork interviews. Models foregrounding the political character of implementation suit macro-level analysis more comfortably than the study of technical operators at the service counter. Against these alternatives, Edwards III (1980) offers structural parsimony: four interacting determinants, namely communication, resources, disposition, and bureaucratic structure, convert directly into interview and observation indicators.</w:t>
      </w:r>
    </w:p>
    <w:p w14:paraId="13F211F0"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Communication encompasses transmission, clarity, and consistency of policy messages across administrative tiers. Resources cover staffing adequacy, informational sufficiency, legal authority, and technical facilities, a dimension that acquires particular weight where implementation depends on functioning devices, network connectivity, and operator competence at the sub-district level. Disposition captures whether frontline personnel treat the task as a genuine mandate or an added administrative burden, a distinction that matters acutely during a database transition demanding the relearning of procedures entrenched over a decade. Bureaucratic structure concerns the presence of written standard operating procedures and the degree of </w:t>
      </w:r>
      <w:proofErr w:type="spellStart"/>
      <w:r w:rsidRPr="00355E5C">
        <w:rPr>
          <w:rFonts w:ascii="Book Antiqua" w:hAnsi="Book Antiqua"/>
          <w:lang w:eastAsia="en-ID"/>
        </w:rPr>
        <w:t>organisational</w:t>
      </w:r>
      <w:proofErr w:type="spellEnd"/>
      <w:r w:rsidRPr="00355E5C">
        <w:rPr>
          <w:rFonts w:ascii="Book Antiqua" w:hAnsi="Book Antiqua"/>
          <w:lang w:eastAsia="en-ID"/>
        </w:rPr>
        <w:t xml:space="preserve"> fragmentation impeding coordination. </w:t>
      </w:r>
      <w:proofErr w:type="spellStart"/>
      <w:r w:rsidRPr="00355E5C">
        <w:rPr>
          <w:rFonts w:ascii="Book Antiqua" w:hAnsi="Book Antiqua"/>
          <w:lang w:eastAsia="en-ID"/>
        </w:rPr>
        <w:t>Haikal</w:t>
      </w:r>
      <w:proofErr w:type="spellEnd"/>
      <w:r w:rsidRPr="00355E5C">
        <w:rPr>
          <w:rFonts w:ascii="Book Antiqua" w:hAnsi="Book Antiqua"/>
          <w:lang w:eastAsia="en-ID"/>
        </w:rPr>
        <w:t xml:space="preserve"> and </w:t>
      </w:r>
      <w:proofErr w:type="spellStart"/>
      <w:r w:rsidRPr="00355E5C">
        <w:rPr>
          <w:rFonts w:ascii="Book Antiqua" w:hAnsi="Book Antiqua"/>
          <w:lang w:eastAsia="en-ID"/>
        </w:rPr>
        <w:t>Fitriati</w:t>
      </w:r>
      <w:proofErr w:type="spellEnd"/>
      <w:r w:rsidRPr="00355E5C">
        <w:rPr>
          <w:rFonts w:ascii="Book Antiqua" w:hAnsi="Book Antiqua"/>
          <w:lang w:eastAsia="en-ID"/>
        </w:rPr>
        <w:t xml:space="preserve"> (2023) demonstrated the framework's serviceability in the Indonesian social assistance context, identifying communication and resources as decisive. The model's acknowledged limitation is its top-down orientation, which under-registers the improvisation of implementers at the point of contact.</w:t>
      </w:r>
    </w:p>
    <w:p w14:paraId="7BEFF467" w14:textId="77777777" w:rsidR="003A22C8" w:rsidRDefault="003A22C8" w:rsidP="003A22C8">
      <w:pPr>
        <w:pStyle w:val="NoSpacing"/>
        <w:jc w:val="both"/>
        <w:rPr>
          <w:rFonts w:ascii="Book Antiqua" w:hAnsi="Book Antiqua"/>
          <w:i/>
          <w:iCs/>
          <w:lang w:eastAsia="en-ID"/>
        </w:rPr>
      </w:pPr>
    </w:p>
    <w:p w14:paraId="302FC47E" w14:textId="77777777" w:rsidR="003A22C8" w:rsidRDefault="003A22C8" w:rsidP="003A22C8">
      <w:pPr>
        <w:pStyle w:val="NoSpacing"/>
        <w:jc w:val="both"/>
        <w:rPr>
          <w:rFonts w:ascii="Book Antiqua" w:hAnsi="Book Antiqua"/>
          <w:i/>
          <w:iCs/>
          <w:lang w:eastAsia="en-ID"/>
        </w:rPr>
      </w:pPr>
    </w:p>
    <w:p w14:paraId="48A6DB42" w14:textId="3F801844"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lastRenderedPageBreak/>
        <w:t>Street-Level Bureaucracy as a Corrective Perspective</w:t>
      </w:r>
    </w:p>
    <w:p w14:paraId="44366039"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That limitation is addressed by Lipsky (2010), whose central proposition holds that public policy is ultimately constituted by frontline officials who exercise discretion while operating under chronic resource scarcity. Confronted with caseloads exceeding their capacity, such officials develop coping mechanisms, including informal procedural shortcuts, </w:t>
      </w:r>
      <w:proofErr w:type="spellStart"/>
      <w:r w:rsidRPr="00355E5C">
        <w:rPr>
          <w:rFonts w:ascii="Book Antiqua" w:hAnsi="Book Antiqua"/>
          <w:lang w:eastAsia="en-ID"/>
        </w:rPr>
        <w:t>prioritisation</w:t>
      </w:r>
      <w:proofErr w:type="spellEnd"/>
      <w:r w:rsidRPr="00355E5C">
        <w:rPr>
          <w:rFonts w:ascii="Book Antiqua" w:hAnsi="Book Antiqua"/>
          <w:lang w:eastAsia="en-ID"/>
        </w:rPr>
        <w:t xml:space="preserve"> according to perceived urgency, and routinised decisions for cases judged similar, that collectively determine what citizens actually receive. A second dimension of the theory concerns asymmetric power: citizens typically depend on officials who control both information and process, which explains why accessible objection and appeal mechanisms carry disproportionate importance. Empirical work in Indonesia substantiates the argument, with </w:t>
      </w:r>
      <w:proofErr w:type="spellStart"/>
      <w:r w:rsidRPr="00355E5C">
        <w:rPr>
          <w:rFonts w:ascii="Book Antiqua" w:hAnsi="Book Antiqua"/>
          <w:lang w:eastAsia="en-ID"/>
        </w:rPr>
        <w:t>Hadna</w:t>
      </w:r>
      <w:proofErr w:type="spellEnd"/>
      <w:r w:rsidRPr="00355E5C">
        <w:rPr>
          <w:rFonts w:ascii="Book Antiqua" w:hAnsi="Book Antiqua"/>
          <w:lang w:eastAsia="en-ID"/>
        </w:rPr>
        <w:t xml:space="preserve"> et al. (2022) finding that officials' economic motives and clients' knowledge levels jointly correlate with observed patterns of discretionary practice. The perspective's sensitivity to service-point realities compensates precisely for what the Edwards framework overlooks, while its micro focus is in turn offset by the structural reach of that framework, a reciprocity that justifies their combined use.</w:t>
      </w:r>
    </w:p>
    <w:p w14:paraId="7DD0AC2A" w14:textId="77777777" w:rsidR="003A22C8" w:rsidRDefault="003A22C8" w:rsidP="003A22C8">
      <w:pPr>
        <w:pStyle w:val="NoSpacing"/>
        <w:jc w:val="both"/>
        <w:rPr>
          <w:rFonts w:ascii="Book Antiqua" w:hAnsi="Book Antiqua"/>
          <w:i/>
          <w:iCs/>
          <w:lang w:eastAsia="en-ID"/>
        </w:rPr>
      </w:pPr>
    </w:p>
    <w:p w14:paraId="75163E19" w14:textId="3391DCCE"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Data Governance as an Evaluative Standard</w:t>
      </w:r>
    </w:p>
    <w:p w14:paraId="71594BA7"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third strand supplies criteria for judging implementation outputs rather than processes. Zuiderwijk and Janssen (2014) established that government data policies deliver impact through institutional arrangements, including technical standards, allocated responsibilities, and interoperability requirements, rather than through technological availability alone. Four governance dimensions follow for the present study: accuracy, indicated by low inclusion and exclusion error; interoperability, the technical precondition enabling multiple source databases to be matched without duplication or identity mismatch; currency, meaning regular updating that tracks household socio-economic change; and accountability, </w:t>
      </w:r>
      <w:proofErr w:type="spellStart"/>
      <w:r w:rsidRPr="00355E5C">
        <w:rPr>
          <w:rFonts w:ascii="Book Antiqua" w:hAnsi="Book Antiqua"/>
          <w:lang w:eastAsia="en-ID"/>
        </w:rPr>
        <w:t>conceptualised</w:t>
      </w:r>
      <w:proofErr w:type="spellEnd"/>
      <w:r w:rsidRPr="00355E5C">
        <w:rPr>
          <w:rFonts w:ascii="Book Antiqua" w:hAnsi="Book Antiqua"/>
          <w:lang w:eastAsia="en-ID"/>
        </w:rPr>
        <w:t xml:space="preserve"> by </w:t>
      </w:r>
      <w:proofErr w:type="spellStart"/>
      <w:r w:rsidRPr="00355E5C">
        <w:rPr>
          <w:rFonts w:ascii="Book Antiqua" w:hAnsi="Book Antiqua"/>
          <w:lang w:eastAsia="en-ID"/>
        </w:rPr>
        <w:t>Bovens</w:t>
      </w:r>
      <w:proofErr w:type="spellEnd"/>
      <w:r w:rsidRPr="00355E5C">
        <w:rPr>
          <w:rFonts w:ascii="Book Antiqua" w:hAnsi="Book Antiqua"/>
          <w:lang w:eastAsia="en-ID"/>
        </w:rPr>
        <w:t xml:space="preserve"> (2007) as a relationship linking an actor to a forum empowered to demand justification and impose consequences. Applied to a tiered data system, accountability implies traceable responsibility at every level from initial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reporting through operator data entry and sub-district deliberation to municipal coordination, ideally codified in written procedure.</w:t>
      </w:r>
    </w:p>
    <w:p w14:paraId="79CDEEEB" w14:textId="77777777" w:rsidR="003A22C8" w:rsidRDefault="003A22C8" w:rsidP="003A22C8">
      <w:pPr>
        <w:pStyle w:val="NoSpacing"/>
        <w:jc w:val="both"/>
        <w:rPr>
          <w:rFonts w:ascii="Book Antiqua" w:hAnsi="Book Antiqua"/>
          <w:i/>
          <w:iCs/>
          <w:lang w:eastAsia="en-ID"/>
        </w:rPr>
      </w:pPr>
    </w:p>
    <w:p w14:paraId="09B82834" w14:textId="4969C596"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Analytical Framework</w:t>
      </w:r>
    </w:p>
    <w:p w14:paraId="78EB00F8"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three perspectives operate in a nested configuration. Edwards III (1980) structures the primary thematic analysis across four dimensions, providing the </w:t>
      </w:r>
      <w:proofErr w:type="spellStart"/>
      <w:r w:rsidRPr="00355E5C">
        <w:rPr>
          <w:rFonts w:ascii="Book Antiqua" w:hAnsi="Book Antiqua"/>
          <w:lang w:eastAsia="en-ID"/>
        </w:rPr>
        <w:t>organising</w:t>
      </w:r>
      <w:proofErr w:type="spellEnd"/>
      <w:r w:rsidRPr="00355E5C">
        <w:rPr>
          <w:rFonts w:ascii="Book Antiqua" w:hAnsi="Book Antiqua"/>
          <w:lang w:eastAsia="en-ID"/>
        </w:rPr>
        <w:t xml:space="preserve"> categories through which field data are coded and compared. Lipsky (2010) supplies the interpretive lens for micro-level findings concerning frontline discretion, applied specifically where the Edwards framework under-registers the improvisation of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heads and system operators at the point of contact. The data governance criteria derived from Zuiderwijk and Janssen (2014) and Bovens (2007) furnish evaluative standards for judging whether procedural arrangements meet accountability requirements, applied specifically to the quality of verification processes and the traceability of responsibility within the tiered data system. This nested design </w:t>
      </w:r>
      <w:r w:rsidRPr="00355E5C">
        <w:rPr>
          <w:rFonts w:ascii="Book Antiqua" w:hAnsi="Book Antiqua"/>
          <w:lang w:eastAsia="en-ID"/>
        </w:rPr>
        <w:lastRenderedPageBreak/>
        <w:t xml:space="preserve">ensures that the analysis captures structural conditions, frontline </w:t>
      </w:r>
      <w:proofErr w:type="spellStart"/>
      <w:r w:rsidRPr="00355E5C">
        <w:rPr>
          <w:rFonts w:ascii="Book Antiqua" w:hAnsi="Book Antiqua"/>
          <w:lang w:eastAsia="en-ID"/>
        </w:rPr>
        <w:t>behaviour</w:t>
      </w:r>
      <w:proofErr w:type="spellEnd"/>
      <w:r w:rsidRPr="00355E5C">
        <w:rPr>
          <w:rFonts w:ascii="Book Antiqua" w:hAnsi="Book Antiqua"/>
          <w:lang w:eastAsia="en-ID"/>
        </w:rPr>
        <w:t>, and output quality within a single coherent framework rather than treating each perspective in isolation.</w:t>
      </w:r>
    </w:p>
    <w:p w14:paraId="43E8585B" w14:textId="28ADC2D7" w:rsidR="00622DA4" w:rsidRDefault="00622DA4">
      <w:pPr>
        <w:spacing w:after="0" w:line="240" w:lineRule="auto"/>
        <w:rPr>
          <w:rFonts w:ascii="Book Antiqua" w:eastAsia="Book Antiqua" w:hAnsi="Book Antiqua" w:cs="Book Antiqua"/>
          <w:i/>
          <w:sz w:val="24"/>
          <w:szCs w:val="24"/>
        </w:rPr>
      </w:pPr>
    </w:p>
    <w:p w14:paraId="43D6CF9F" w14:textId="6AECB5A8"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b/>
          <w:sz w:val="24"/>
          <w:szCs w:val="24"/>
        </w:rPr>
      </w:pPr>
      <w:r w:rsidRPr="00DD2FA7">
        <w:rPr>
          <w:rFonts w:ascii="Book Antiqua" w:eastAsia="Book Antiqua" w:hAnsi="Book Antiqua" w:cs="Book Antiqua"/>
          <w:b/>
          <w:sz w:val="24"/>
          <w:szCs w:val="24"/>
        </w:rPr>
        <w:t>METHODOLOGY</w:t>
      </w:r>
    </w:p>
    <w:p w14:paraId="34FC417B" w14:textId="7A750CE7"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This study employed a qualitative descriptive-analytical approach to examine how DTSEN policy is translated into administrative practice across multiple levels of government, with emphasis on meanings, processes, and contextual dynamics that cannot be adequately captured through quantitative measurement alone (Creswell &amp; Poth, 2023).</w:t>
      </w:r>
    </w:p>
    <w:p w14:paraId="6CA4F518" w14:textId="777CE164"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Fieldwork was conducted in Bogor City, West Java, from July to September 2025. Bogor Selatan and Bogor Barat were purposively selected because they recorded the widest social assistance coverage deficits, creating contexts in which implementation pressures, proposal volumes, and discrepancies between registry data and actual service delivery were particularly visible. Site selection was based on aggregate coverage data obtained from the Bogor City Social Affairs Agency prior to fieldwork.</w:t>
      </w:r>
    </w:p>
    <w:p w14:paraId="466C58A8" w14:textId="0CDFB3B1"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 xml:space="preserve">Fifteen informants were purposively recruited based on their direct involvement in DTSEN implementation or experience as social assistance applicants or recipients. They consisted of two officials from the Bogor City Social Affairs Agency, three sub-district or </w:t>
      </w:r>
      <w:proofErr w:type="spellStart"/>
      <w:r w:rsidRPr="00DD2FA7">
        <w:rPr>
          <w:rFonts w:ascii="Book Antiqua" w:eastAsia="Book Antiqua" w:hAnsi="Book Antiqua" w:cs="Book Antiqua"/>
          <w:sz w:val="24"/>
          <w:szCs w:val="24"/>
        </w:rPr>
        <w:t>kelurahan</w:t>
      </w:r>
      <w:proofErr w:type="spellEnd"/>
      <w:r w:rsidRPr="00DD2FA7">
        <w:rPr>
          <w:rFonts w:ascii="Book Antiqua" w:eastAsia="Book Antiqua" w:hAnsi="Book Antiqua" w:cs="Book Antiqua"/>
          <w:sz w:val="24"/>
          <w:szCs w:val="24"/>
        </w:rPr>
        <w:t xml:space="preserve"> personnel involved in social data administration, two SIKS-NG operators, four RT/RW </w:t>
      </w:r>
      <w:proofErr w:type="spellStart"/>
      <w:r w:rsidRPr="00DD2FA7">
        <w:rPr>
          <w:rFonts w:ascii="Book Antiqua" w:eastAsia="Book Antiqua" w:hAnsi="Book Antiqua" w:cs="Book Antiqua"/>
          <w:sz w:val="24"/>
          <w:szCs w:val="24"/>
        </w:rPr>
        <w:t>neighbourhood</w:t>
      </w:r>
      <w:proofErr w:type="spellEnd"/>
      <w:r w:rsidRPr="00DD2FA7">
        <w:rPr>
          <w:rFonts w:ascii="Book Antiqua" w:eastAsia="Book Antiqua" w:hAnsi="Book Antiqua" w:cs="Book Antiqua"/>
          <w:sz w:val="24"/>
          <w:szCs w:val="24"/>
        </w:rPr>
        <w:t xml:space="preserve"> heads, and four residents from Deciles 1–3 who had received or applied for social assistance. Access was facilitated through a formal research permit issued by the Social Affairs Agency, followed by introductions to relevant sub-district offices. Participation was voluntary, and each prospective informant was informed of the study's purpose and procedures before participation.</w:t>
      </w:r>
    </w:p>
    <w:p w14:paraId="0C812779" w14:textId="7CFD323D"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 xml:space="preserve">Data were collected through semi-structured interviews, field observations, and document analysis. Interviews were guided by the four dimensions of the Edwards III implementation model, namely communication, resources, disposition, and bureaucratic structure, while remaining flexible enough to capture emerging themes. Interviews lasted approximately 30–60 minutes, were conducted face-to-face, and were audio-recorded with verbal consent. Field observations were undertaken during </w:t>
      </w:r>
      <w:proofErr w:type="spellStart"/>
      <w:r w:rsidRPr="00DD2FA7">
        <w:rPr>
          <w:rFonts w:ascii="Book Antiqua" w:eastAsia="Book Antiqua" w:hAnsi="Book Antiqua" w:cs="Book Antiqua"/>
          <w:sz w:val="24"/>
          <w:szCs w:val="24"/>
        </w:rPr>
        <w:t>kelurahan</w:t>
      </w:r>
      <w:proofErr w:type="spellEnd"/>
      <w:r w:rsidRPr="00DD2FA7">
        <w:rPr>
          <w:rFonts w:ascii="Book Antiqua" w:eastAsia="Book Antiqua" w:hAnsi="Book Antiqua" w:cs="Book Antiqua"/>
          <w:sz w:val="24"/>
          <w:szCs w:val="24"/>
        </w:rPr>
        <w:t xml:space="preserve"> deliberative forums, SIKS-NG data-processing activities, and citizen service interactions. Observation focused on procedural sequences, facilities, inter-actor interactions, and citizen responses. Documentary sources included aggregate decile and coverage data, photographs of implementation activities, and regulations governing DTSEN implementation. These materials were used both as independent evidence and to corroborate interview and observation findings.</w:t>
      </w:r>
    </w:p>
    <w:p w14:paraId="4CEAD674" w14:textId="187D3D0F"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 xml:space="preserve">The Edwards III (1980) policy implementation model served as the principal analytical framework. Communication was examined in terms of transmission, clarity, and consistency; resources in relation to personnel, information, authority, and facilities; disposition in terms of implementers' understanding and commitment; and bureaucratic structure through standard operating procedures and </w:t>
      </w:r>
      <w:proofErr w:type="spellStart"/>
      <w:r w:rsidRPr="00DD2FA7">
        <w:rPr>
          <w:rFonts w:ascii="Book Antiqua" w:eastAsia="Book Antiqua" w:hAnsi="Book Antiqua" w:cs="Book Antiqua"/>
          <w:sz w:val="24"/>
          <w:szCs w:val="24"/>
        </w:rPr>
        <w:t>organisational</w:t>
      </w:r>
      <w:proofErr w:type="spellEnd"/>
      <w:r w:rsidRPr="00DD2FA7">
        <w:rPr>
          <w:rFonts w:ascii="Book Antiqua" w:eastAsia="Book Antiqua" w:hAnsi="Book Antiqua" w:cs="Book Antiqua"/>
          <w:sz w:val="24"/>
          <w:szCs w:val="24"/>
        </w:rPr>
        <w:t xml:space="preserve"> fragmentation. Two complementary </w:t>
      </w:r>
      <w:r w:rsidRPr="00DD2FA7">
        <w:rPr>
          <w:rFonts w:ascii="Book Antiqua" w:eastAsia="Book Antiqua" w:hAnsi="Book Antiqua" w:cs="Book Antiqua"/>
          <w:sz w:val="24"/>
          <w:szCs w:val="24"/>
        </w:rPr>
        <w:lastRenderedPageBreak/>
        <w:t xml:space="preserve">perspectives were incorporated. Lipsky's (2010) street-level bureaucracy theory was used to interpret frontline discretion under resource constraints, while data governance and accountability perspectives derived from </w:t>
      </w:r>
      <w:proofErr w:type="spellStart"/>
      <w:r w:rsidRPr="00DD2FA7">
        <w:rPr>
          <w:rFonts w:ascii="Book Antiqua" w:eastAsia="Book Antiqua" w:hAnsi="Book Antiqua" w:cs="Book Antiqua"/>
          <w:sz w:val="24"/>
          <w:szCs w:val="24"/>
        </w:rPr>
        <w:t>Zuiderwijk</w:t>
      </w:r>
      <w:proofErr w:type="spellEnd"/>
      <w:r w:rsidRPr="00DD2FA7">
        <w:rPr>
          <w:rFonts w:ascii="Book Antiqua" w:eastAsia="Book Antiqua" w:hAnsi="Book Antiqua" w:cs="Book Antiqua"/>
          <w:sz w:val="24"/>
          <w:szCs w:val="24"/>
        </w:rPr>
        <w:t xml:space="preserve"> and Janssen (2014) and </w:t>
      </w:r>
      <w:proofErr w:type="spellStart"/>
      <w:r w:rsidRPr="00DD2FA7">
        <w:rPr>
          <w:rFonts w:ascii="Book Antiqua" w:eastAsia="Book Antiqua" w:hAnsi="Book Antiqua" w:cs="Book Antiqua"/>
          <w:sz w:val="24"/>
          <w:szCs w:val="24"/>
        </w:rPr>
        <w:t>Bovens</w:t>
      </w:r>
      <w:proofErr w:type="spellEnd"/>
      <w:r w:rsidRPr="00DD2FA7">
        <w:rPr>
          <w:rFonts w:ascii="Book Antiqua" w:eastAsia="Book Antiqua" w:hAnsi="Book Antiqua" w:cs="Book Antiqua"/>
          <w:sz w:val="24"/>
          <w:szCs w:val="24"/>
        </w:rPr>
        <w:t xml:space="preserve"> (2007) were used to assess accuracy, interoperability, data currency, and traceability of responsibility. These perspectives were applied in a nested manner, with Edwards III structuring the main thematic analysis and the complementary frameworks deepening interpretation of specific findings.</w:t>
      </w:r>
    </w:p>
    <w:p w14:paraId="607B01EA" w14:textId="179C1556" w:rsidR="00DD2FA7" w:rsidRP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 xml:space="preserve">Data analysis followed the interactive model of Miles, Huberman, and </w:t>
      </w:r>
      <w:proofErr w:type="spellStart"/>
      <w:r w:rsidRPr="00DD2FA7">
        <w:rPr>
          <w:rFonts w:ascii="Book Antiqua" w:eastAsia="Book Antiqua" w:hAnsi="Book Antiqua" w:cs="Book Antiqua"/>
          <w:sz w:val="24"/>
          <w:szCs w:val="24"/>
        </w:rPr>
        <w:t>Saldaña</w:t>
      </w:r>
      <w:proofErr w:type="spellEnd"/>
      <w:r w:rsidRPr="00DD2FA7">
        <w:rPr>
          <w:rFonts w:ascii="Book Antiqua" w:eastAsia="Book Antiqua" w:hAnsi="Book Antiqua" w:cs="Book Antiqua"/>
          <w:sz w:val="24"/>
          <w:szCs w:val="24"/>
        </w:rPr>
        <w:t xml:space="preserve"> (2020), comprising data condensation, data display, and conclusion drawing and verification. Interview transcripts, observation notes, and documents were coded deductively according to the Edwards III dimensions and inductively to capture recurring empirical patterns. Coded data were </w:t>
      </w:r>
      <w:proofErr w:type="spellStart"/>
      <w:r w:rsidRPr="00DD2FA7">
        <w:rPr>
          <w:rFonts w:ascii="Book Antiqua" w:eastAsia="Book Antiqua" w:hAnsi="Book Antiqua" w:cs="Book Antiqua"/>
          <w:sz w:val="24"/>
          <w:szCs w:val="24"/>
        </w:rPr>
        <w:t>organised</w:t>
      </w:r>
      <w:proofErr w:type="spellEnd"/>
      <w:r w:rsidRPr="00DD2FA7">
        <w:rPr>
          <w:rFonts w:ascii="Book Antiqua" w:eastAsia="Book Antiqua" w:hAnsi="Book Antiqua" w:cs="Book Antiqua"/>
          <w:sz w:val="24"/>
          <w:szCs w:val="24"/>
        </w:rPr>
        <w:t xml:space="preserve"> into thematic matrices by analytical dimension and informant category, enabling comparison across research sites and stakeholder groups. Emerging interpretations were subsequently tested against contradictory or disconfirming evidence.</w:t>
      </w:r>
    </w:p>
    <w:p w14:paraId="3B62CD4F" w14:textId="59EB3026" w:rsidR="00622DA4" w:rsidRDefault="00DD2FA7" w:rsidP="00DD2FA7">
      <w:pPr>
        <w:pBdr>
          <w:top w:val="nil"/>
          <w:left w:val="nil"/>
          <w:bottom w:val="nil"/>
          <w:right w:val="nil"/>
          <w:between w:val="nil"/>
        </w:pBdr>
        <w:spacing w:after="0" w:line="240" w:lineRule="auto"/>
        <w:jc w:val="both"/>
        <w:rPr>
          <w:rFonts w:ascii="Book Antiqua" w:eastAsia="Book Antiqua" w:hAnsi="Book Antiqua" w:cs="Book Antiqua"/>
          <w:b/>
          <w:sz w:val="24"/>
          <w:szCs w:val="24"/>
        </w:rPr>
      </w:pPr>
      <w:r>
        <w:rPr>
          <w:rFonts w:ascii="Book Antiqua" w:eastAsia="Book Antiqua" w:hAnsi="Book Antiqua" w:cs="Book Antiqua"/>
          <w:sz w:val="24"/>
          <w:szCs w:val="24"/>
        </w:rPr>
        <w:tab/>
      </w:r>
      <w:r w:rsidRPr="00DD2FA7">
        <w:rPr>
          <w:rFonts w:ascii="Book Antiqua" w:eastAsia="Book Antiqua" w:hAnsi="Book Antiqua" w:cs="Book Antiqua"/>
          <w:sz w:val="24"/>
          <w:szCs w:val="24"/>
        </w:rPr>
        <w:t xml:space="preserve">Trustworthiness was strengthened through source triangulation across the five informant categories, methodological triangulation across interviews, observations, and documents, member checking with two key informants, and maintenance of a reflexive journal documenting analytical decisions and potential researcher bias. Ethical safeguards included voluntary participation, verbal informed consent, the right to withdraw, role-based </w:t>
      </w:r>
      <w:proofErr w:type="spellStart"/>
      <w:r w:rsidRPr="00DD2FA7">
        <w:rPr>
          <w:rFonts w:ascii="Book Antiqua" w:eastAsia="Book Antiqua" w:hAnsi="Book Antiqua" w:cs="Book Antiqua"/>
          <w:sz w:val="24"/>
          <w:szCs w:val="24"/>
        </w:rPr>
        <w:t>anonymisation</w:t>
      </w:r>
      <w:proofErr w:type="spellEnd"/>
      <w:r w:rsidRPr="00DD2FA7">
        <w:rPr>
          <w:rFonts w:ascii="Book Antiqua" w:eastAsia="Book Antiqua" w:hAnsi="Book Antiqua" w:cs="Book Antiqua"/>
          <w:sz w:val="24"/>
          <w:szCs w:val="24"/>
        </w:rPr>
        <w:t xml:space="preserve"> of participants, and secure storage of audio recordings. Institutional access and data collection were </w:t>
      </w:r>
      <w:proofErr w:type="spellStart"/>
      <w:r w:rsidRPr="00DD2FA7">
        <w:rPr>
          <w:rFonts w:ascii="Book Antiqua" w:eastAsia="Book Antiqua" w:hAnsi="Book Antiqua" w:cs="Book Antiqua"/>
          <w:sz w:val="24"/>
          <w:szCs w:val="24"/>
        </w:rPr>
        <w:t>authorised</w:t>
      </w:r>
      <w:proofErr w:type="spellEnd"/>
      <w:r w:rsidRPr="00DD2FA7">
        <w:rPr>
          <w:rFonts w:ascii="Book Antiqua" w:eastAsia="Book Antiqua" w:hAnsi="Book Antiqua" w:cs="Book Antiqua"/>
          <w:sz w:val="24"/>
          <w:szCs w:val="24"/>
        </w:rPr>
        <w:t xml:space="preserve"> through a formal research permit issued by the Bogor City Social Affairs Agency.</w:t>
      </w:r>
    </w:p>
    <w:p w14:paraId="75020026" w14:textId="77777777" w:rsidR="00DD2FA7" w:rsidRDefault="00DD2FA7" w:rsidP="00DD2FA7">
      <w:pPr>
        <w:pBdr>
          <w:top w:val="nil"/>
          <w:left w:val="nil"/>
          <w:bottom w:val="nil"/>
          <w:right w:val="nil"/>
          <w:between w:val="nil"/>
        </w:pBdr>
        <w:spacing w:after="0" w:line="240" w:lineRule="auto"/>
        <w:jc w:val="both"/>
        <w:rPr>
          <w:rFonts w:ascii="Book Antiqua" w:eastAsia="Book Antiqua" w:hAnsi="Book Antiqua" w:cs="Book Antiqua"/>
          <w:color w:val="000000"/>
          <w:sz w:val="24"/>
          <w:szCs w:val="24"/>
        </w:rPr>
      </w:pPr>
    </w:p>
    <w:p w14:paraId="586B35C0" w14:textId="77777777" w:rsidR="00622DA4" w:rsidRDefault="0038031F">
      <w:pP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RESEARCH RESULT</w:t>
      </w:r>
    </w:p>
    <w:p w14:paraId="2CF693B5" w14:textId="77777777" w:rsidR="00200738" w:rsidRPr="00005D95" w:rsidRDefault="00200738" w:rsidP="00200738">
      <w:pPr>
        <w:pStyle w:val="NoSpacing"/>
        <w:jc w:val="both"/>
        <w:rPr>
          <w:rFonts w:ascii="Book Antiqua" w:hAnsi="Book Antiqua"/>
          <w:i/>
          <w:iCs/>
          <w:lang w:eastAsia="en-ID"/>
        </w:rPr>
      </w:pPr>
      <w:r w:rsidRPr="00005D95">
        <w:rPr>
          <w:rFonts w:ascii="Book Antiqua" w:hAnsi="Book Antiqua"/>
          <w:i/>
          <w:iCs/>
          <w:lang w:eastAsia="en-ID"/>
        </w:rPr>
        <w:t>Research Setting and Policy Context</w:t>
      </w:r>
    </w:p>
    <w:p w14:paraId="0A8D4180"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The study was conducted within the administrative territory of Bogor City, with Bogor Selatan and Bogor Barat serving as the sampled sub-districts. Both were chosen deliberately because they record the widest assistance coverage deficits in the city, a condition that places implementers under maximum operational strain and therefore allows the study to observe how the policy behaves where the volume of proposals is heaviest and the distance between registry data and actual delivery is greatest. City-level coordination is handled by the Bogor City Social Affairs Agency together with social assistants, who interface directly with sub-district offices,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SIKS-NG operators, and officials from the statistics agency throughout the sequence of </w:t>
      </w:r>
      <w:proofErr w:type="spellStart"/>
      <w:r w:rsidRPr="00005D95">
        <w:rPr>
          <w:rFonts w:ascii="Book Antiqua" w:hAnsi="Book Antiqua"/>
          <w:lang w:eastAsia="en-ID"/>
        </w:rPr>
        <w:t>socialisation</w:t>
      </w:r>
      <w:proofErr w:type="spellEnd"/>
      <w:r w:rsidRPr="00005D95">
        <w:rPr>
          <w:rFonts w:ascii="Book Antiqua" w:hAnsi="Book Antiqua"/>
          <w:lang w:eastAsia="en-ID"/>
        </w:rPr>
        <w:t>, verification, and data updating.</w:t>
      </w:r>
    </w:p>
    <w:p w14:paraId="68168E8F"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Findings indicate that DTSEN has been </w:t>
      </w:r>
      <w:proofErr w:type="spellStart"/>
      <w:r w:rsidRPr="00005D95">
        <w:rPr>
          <w:rFonts w:ascii="Book Antiqua" w:hAnsi="Book Antiqua"/>
          <w:lang w:eastAsia="en-ID"/>
        </w:rPr>
        <w:t>operationalised</w:t>
      </w:r>
      <w:proofErr w:type="spellEnd"/>
      <w:r w:rsidRPr="00005D95">
        <w:rPr>
          <w:rFonts w:ascii="Book Antiqua" w:hAnsi="Book Antiqua"/>
          <w:lang w:eastAsia="en-ID"/>
        </w:rPr>
        <w:t xml:space="preserve"> in Bogor City as a supporting instrument for mapping household socio-economic conditions and determining social protection targets. Its operation, however, has not yet guaranteed that every citizen recorded in the registry obtains access to assistance consistent with the criteria applying to them. The existence of a single database has not automatically produced an optimal linkage between citizen data and the delivery of social services, a proposition tested and deepened through the subsequent analysis.</w:t>
      </w:r>
    </w:p>
    <w:p w14:paraId="4467F398" w14:textId="77777777" w:rsidR="00200738" w:rsidRDefault="00200738" w:rsidP="00200738">
      <w:pPr>
        <w:pStyle w:val="NoSpacing"/>
        <w:jc w:val="both"/>
        <w:rPr>
          <w:rFonts w:ascii="Book Antiqua" w:hAnsi="Book Antiqua"/>
          <w:lang w:eastAsia="en-ID"/>
        </w:rPr>
      </w:pPr>
    </w:p>
    <w:p w14:paraId="62F8DA6B" w14:textId="77777777" w:rsidR="00200738" w:rsidRPr="00005D95" w:rsidRDefault="00200738" w:rsidP="00200738">
      <w:pPr>
        <w:pStyle w:val="NoSpacing"/>
        <w:jc w:val="both"/>
        <w:rPr>
          <w:rFonts w:ascii="Book Antiqua" w:hAnsi="Book Antiqua"/>
          <w:i/>
          <w:iCs/>
          <w:lang w:eastAsia="en-ID"/>
        </w:rPr>
      </w:pPr>
      <w:r w:rsidRPr="00005D95">
        <w:rPr>
          <w:rFonts w:ascii="Book Antiqua" w:hAnsi="Book Antiqua"/>
          <w:i/>
          <w:iCs/>
          <w:lang w:eastAsia="en-ID"/>
        </w:rPr>
        <w:t>Aggregate Decile Data and the Coverage Gap</w:t>
      </w:r>
    </w:p>
    <w:p w14:paraId="7FE030A8"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Aggregate figures show 463,466 residents of Bogor City falling within Deciles 1 through 5. Table 1 details the gap between the total population of each decile and the number yet to receive any assistance.</w:t>
      </w:r>
    </w:p>
    <w:p w14:paraId="56B78B8D" w14:textId="77777777" w:rsidR="00200738" w:rsidRPr="00005D95" w:rsidRDefault="00200738" w:rsidP="00200738">
      <w:pPr>
        <w:pStyle w:val="NoSpacing"/>
        <w:jc w:val="center"/>
        <w:rPr>
          <w:rFonts w:ascii="Book Antiqua" w:hAnsi="Book Antiqua"/>
          <w:lang w:eastAsia="en-ID"/>
        </w:rPr>
      </w:pPr>
      <w:r w:rsidRPr="00005D95">
        <w:rPr>
          <w:rFonts w:ascii="Book Antiqua" w:hAnsi="Book Antiqua"/>
          <w:b/>
          <w:bCs/>
          <w:lang w:eastAsia="en-ID"/>
        </w:rPr>
        <w:t>Table 1.</w:t>
      </w:r>
      <w:r w:rsidRPr="00005D95">
        <w:rPr>
          <w:rFonts w:ascii="Book Antiqua" w:hAnsi="Book Antiqua"/>
          <w:lang w:eastAsia="en-ID"/>
        </w:rPr>
        <w:t xml:space="preserve"> Social Assistance Coverage Gap by Decile in Bogor City</w:t>
      </w:r>
    </w:p>
    <w:tbl>
      <w:tblPr>
        <w:tblStyle w:val="TableGrid"/>
        <w:tblW w:w="0" w:type="auto"/>
        <w:jc w:val="center"/>
        <w:tblLook w:val="04A0" w:firstRow="1" w:lastRow="0" w:firstColumn="1" w:lastColumn="0" w:noHBand="0" w:noVBand="1"/>
      </w:tblPr>
      <w:tblGrid>
        <w:gridCol w:w="918"/>
        <w:gridCol w:w="1755"/>
        <w:gridCol w:w="2888"/>
        <w:gridCol w:w="2417"/>
      </w:tblGrid>
      <w:tr w:rsidR="00200738" w:rsidRPr="00DD2FA7" w14:paraId="5FF3BF00" w14:textId="77777777" w:rsidTr="00DD2FA7">
        <w:trPr>
          <w:jc w:val="center"/>
        </w:trPr>
        <w:tc>
          <w:tcPr>
            <w:tcW w:w="0" w:type="auto"/>
            <w:hideMark/>
          </w:tcPr>
          <w:p w14:paraId="5A717710"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Decile</w:t>
            </w:r>
          </w:p>
        </w:tc>
        <w:tc>
          <w:tcPr>
            <w:tcW w:w="0" w:type="auto"/>
            <w:hideMark/>
          </w:tcPr>
          <w:p w14:paraId="4DF18EA8" w14:textId="77777777" w:rsidR="00200738" w:rsidRPr="00DD2FA7" w:rsidRDefault="00200738" w:rsidP="00836081">
            <w:pPr>
              <w:jc w:val="right"/>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Total Population</w:t>
            </w:r>
          </w:p>
        </w:tc>
        <w:tc>
          <w:tcPr>
            <w:tcW w:w="0" w:type="auto"/>
            <w:hideMark/>
          </w:tcPr>
          <w:p w14:paraId="46FAA7CF" w14:textId="77777777" w:rsidR="00200738" w:rsidRPr="00DD2FA7" w:rsidRDefault="00200738" w:rsidP="00836081">
            <w:pPr>
              <w:jc w:val="right"/>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Not Yet Receiving Assistance</w:t>
            </w:r>
          </w:p>
        </w:tc>
        <w:tc>
          <w:tcPr>
            <w:tcW w:w="0" w:type="auto"/>
            <w:hideMark/>
          </w:tcPr>
          <w:p w14:paraId="190495CE" w14:textId="77777777" w:rsidR="00200738" w:rsidRPr="00DD2FA7" w:rsidRDefault="00200738" w:rsidP="00836081">
            <w:pPr>
              <w:jc w:val="right"/>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Percentage Not Covered</w:t>
            </w:r>
          </w:p>
        </w:tc>
      </w:tr>
      <w:tr w:rsidR="00200738" w:rsidRPr="00DD2FA7" w14:paraId="78587B78" w14:textId="77777777" w:rsidTr="00DD2FA7">
        <w:trPr>
          <w:jc w:val="center"/>
        </w:trPr>
        <w:tc>
          <w:tcPr>
            <w:tcW w:w="0" w:type="auto"/>
            <w:hideMark/>
          </w:tcPr>
          <w:p w14:paraId="24F34190"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Decile 1</w:t>
            </w:r>
          </w:p>
        </w:tc>
        <w:tc>
          <w:tcPr>
            <w:tcW w:w="0" w:type="auto"/>
            <w:hideMark/>
          </w:tcPr>
          <w:p w14:paraId="2326EDA2"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83,640</w:t>
            </w:r>
          </w:p>
        </w:tc>
        <w:tc>
          <w:tcPr>
            <w:tcW w:w="0" w:type="auto"/>
            <w:hideMark/>
          </w:tcPr>
          <w:p w14:paraId="27771BCC"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19,555</w:t>
            </w:r>
          </w:p>
        </w:tc>
        <w:tc>
          <w:tcPr>
            <w:tcW w:w="0" w:type="auto"/>
            <w:hideMark/>
          </w:tcPr>
          <w:p w14:paraId="1F722093"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23.38%</w:t>
            </w:r>
          </w:p>
        </w:tc>
      </w:tr>
      <w:tr w:rsidR="00200738" w:rsidRPr="00DD2FA7" w14:paraId="0729BDB4" w14:textId="77777777" w:rsidTr="00DD2FA7">
        <w:trPr>
          <w:jc w:val="center"/>
        </w:trPr>
        <w:tc>
          <w:tcPr>
            <w:tcW w:w="0" w:type="auto"/>
            <w:hideMark/>
          </w:tcPr>
          <w:p w14:paraId="7585A327"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Decile 2</w:t>
            </w:r>
          </w:p>
        </w:tc>
        <w:tc>
          <w:tcPr>
            <w:tcW w:w="0" w:type="auto"/>
            <w:hideMark/>
          </w:tcPr>
          <w:p w14:paraId="22D0F30D"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89,375</w:t>
            </w:r>
          </w:p>
        </w:tc>
        <w:tc>
          <w:tcPr>
            <w:tcW w:w="0" w:type="auto"/>
            <w:hideMark/>
          </w:tcPr>
          <w:p w14:paraId="4508F225"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21,974</w:t>
            </w:r>
          </w:p>
        </w:tc>
        <w:tc>
          <w:tcPr>
            <w:tcW w:w="0" w:type="auto"/>
            <w:hideMark/>
          </w:tcPr>
          <w:p w14:paraId="033E46AB"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24.59%</w:t>
            </w:r>
          </w:p>
        </w:tc>
      </w:tr>
      <w:tr w:rsidR="00200738" w:rsidRPr="00DD2FA7" w14:paraId="5E293107" w14:textId="77777777" w:rsidTr="00DD2FA7">
        <w:trPr>
          <w:jc w:val="center"/>
        </w:trPr>
        <w:tc>
          <w:tcPr>
            <w:tcW w:w="0" w:type="auto"/>
            <w:hideMark/>
          </w:tcPr>
          <w:p w14:paraId="675F62FB"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Decile 3</w:t>
            </w:r>
          </w:p>
        </w:tc>
        <w:tc>
          <w:tcPr>
            <w:tcW w:w="0" w:type="auto"/>
            <w:hideMark/>
          </w:tcPr>
          <w:p w14:paraId="516517AE"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94,075</w:t>
            </w:r>
          </w:p>
        </w:tc>
        <w:tc>
          <w:tcPr>
            <w:tcW w:w="0" w:type="auto"/>
            <w:hideMark/>
          </w:tcPr>
          <w:p w14:paraId="2E4A5D55"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28,878</w:t>
            </w:r>
          </w:p>
        </w:tc>
        <w:tc>
          <w:tcPr>
            <w:tcW w:w="0" w:type="auto"/>
            <w:hideMark/>
          </w:tcPr>
          <w:p w14:paraId="75EB47AA"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30.69%</w:t>
            </w:r>
          </w:p>
        </w:tc>
      </w:tr>
      <w:tr w:rsidR="00200738" w:rsidRPr="00DD2FA7" w14:paraId="79C8C700" w14:textId="77777777" w:rsidTr="00DD2FA7">
        <w:trPr>
          <w:jc w:val="center"/>
        </w:trPr>
        <w:tc>
          <w:tcPr>
            <w:tcW w:w="0" w:type="auto"/>
            <w:hideMark/>
          </w:tcPr>
          <w:p w14:paraId="6D4AC583"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Decile 4</w:t>
            </w:r>
          </w:p>
        </w:tc>
        <w:tc>
          <w:tcPr>
            <w:tcW w:w="0" w:type="auto"/>
            <w:hideMark/>
          </w:tcPr>
          <w:p w14:paraId="688828F9"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95,793</w:t>
            </w:r>
          </w:p>
        </w:tc>
        <w:tc>
          <w:tcPr>
            <w:tcW w:w="0" w:type="auto"/>
            <w:hideMark/>
          </w:tcPr>
          <w:p w14:paraId="4A98D85C"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40,340</w:t>
            </w:r>
          </w:p>
        </w:tc>
        <w:tc>
          <w:tcPr>
            <w:tcW w:w="0" w:type="auto"/>
            <w:hideMark/>
          </w:tcPr>
          <w:p w14:paraId="64B11D95"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42.11%</w:t>
            </w:r>
          </w:p>
        </w:tc>
      </w:tr>
      <w:tr w:rsidR="00200738" w:rsidRPr="00DD2FA7" w14:paraId="5C976693" w14:textId="77777777" w:rsidTr="00DD2FA7">
        <w:trPr>
          <w:jc w:val="center"/>
        </w:trPr>
        <w:tc>
          <w:tcPr>
            <w:tcW w:w="0" w:type="auto"/>
            <w:hideMark/>
          </w:tcPr>
          <w:p w14:paraId="26873E17"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Decile 5</w:t>
            </w:r>
          </w:p>
        </w:tc>
        <w:tc>
          <w:tcPr>
            <w:tcW w:w="0" w:type="auto"/>
            <w:hideMark/>
          </w:tcPr>
          <w:p w14:paraId="2D65D232"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100,583</w:t>
            </w:r>
          </w:p>
        </w:tc>
        <w:tc>
          <w:tcPr>
            <w:tcW w:w="0" w:type="auto"/>
            <w:hideMark/>
          </w:tcPr>
          <w:p w14:paraId="363D99D6"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58,034</w:t>
            </w:r>
          </w:p>
        </w:tc>
        <w:tc>
          <w:tcPr>
            <w:tcW w:w="0" w:type="auto"/>
            <w:hideMark/>
          </w:tcPr>
          <w:p w14:paraId="74438021"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57.70%</w:t>
            </w:r>
          </w:p>
        </w:tc>
      </w:tr>
      <w:tr w:rsidR="00200738" w:rsidRPr="00DD2FA7" w14:paraId="05D025E0" w14:textId="77777777" w:rsidTr="00DD2FA7">
        <w:trPr>
          <w:jc w:val="center"/>
        </w:trPr>
        <w:tc>
          <w:tcPr>
            <w:tcW w:w="0" w:type="auto"/>
            <w:hideMark/>
          </w:tcPr>
          <w:p w14:paraId="37470785"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Total</w:t>
            </w:r>
          </w:p>
        </w:tc>
        <w:tc>
          <w:tcPr>
            <w:tcW w:w="0" w:type="auto"/>
            <w:hideMark/>
          </w:tcPr>
          <w:p w14:paraId="3AF8454B"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463,466</w:t>
            </w:r>
          </w:p>
        </w:tc>
        <w:tc>
          <w:tcPr>
            <w:tcW w:w="0" w:type="auto"/>
            <w:hideMark/>
          </w:tcPr>
          <w:p w14:paraId="61872F20"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168,781</w:t>
            </w:r>
          </w:p>
        </w:tc>
        <w:tc>
          <w:tcPr>
            <w:tcW w:w="0" w:type="auto"/>
            <w:hideMark/>
          </w:tcPr>
          <w:p w14:paraId="1A27D983" w14:textId="77777777" w:rsidR="00200738" w:rsidRPr="00DD2FA7" w:rsidRDefault="00200738" w:rsidP="00836081">
            <w:pPr>
              <w:jc w:val="right"/>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36.42%</w:t>
            </w:r>
          </w:p>
        </w:tc>
      </w:tr>
    </w:tbl>
    <w:p w14:paraId="2D9BF759" w14:textId="77777777" w:rsidR="00200738" w:rsidRPr="00DD2FA7" w:rsidRDefault="00200738" w:rsidP="00200738">
      <w:pPr>
        <w:pStyle w:val="NoSpacing"/>
        <w:jc w:val="both"/>
        <w:rPr>
          <w:rFonts w:ascii="Book Antiqua" w:hAnsi="Book Antiqua"/>
          <w:sz w:val="20"/>
          <w:szCs w:val="20"/>
          <w:lang w:eastAsia="en-ID"/>
        </w:rPr>
      </w:pPr>
      <w:r w:rsidRPr="00DD2FA7">
        <w:rPr>
          <w:rFonts w:ascii="Book Antiqua" w:hAnsi="Book Antiqua"/>
          <w:sz w:val="20"/>
          <w:szCs w:val="20"/>
          <w:lang w:eastAsia="en-ID"/>
        </w:rPr>
        <w:t>Source: Bogor City Social Affairs Agency data, processed by the researcher, 2026.</w:t>
      </w:r>
    </w:p>
    <w:p w14:paraId="536CCA94"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Of the entire Decile 1–5 population, 168,781 individuals or roughly 36.42 per cent remain untouched by social assistance. It should be </w:t>
      </w:r>
      <w:proofErr w:type="spellStart"/>
      <w:r w:rsidRPr="00005D95">
        <w:rPr>
          <w:rFonts w:ascii="Book Antiqua" w:hAnsi="Book Antiqua"/>
          <w:lang w:eastAsia="en-ID"/>
        </w:rPr>
        <w:t>emphasised</w:t>
      </w:r>
      <w:proofErr w:type="spellEnd"/>
      <w:r w:rsidRPr="00005D95">
        <w:rPr>
          <w:rFonts w:ascii="Book Antiqua" w:hAnsi="Book Antiqua"/>
          <w:lang w:eastAsia="en-ID"/>
        </w:rPr>
        <w:t xml:space="preserve"> that this figure represents a coverage gap, not a measured inclusion or exclusion error, since the study did not independently audit </w:t>
      </w:r>
      <w:proofErr w:type="spellStart"/>
      <w:r w:rsidRPr="00005D95">
        <w:rPr>
          <w:rFonts w:ascii="Book Antiqua" w:hAnsi="Book Antiqua"/>
          <w:lang w:eastAsia="en-ID"/>
        </w:rPr>
        <w:t>programme</w:t>
      </w:r>
      <w:proofErr w:type="spellEnd"/>
      <w:r w:rsidRPr="00005D95">
        <w:rPr>
          <w:rFonts w:ascii="Book Antiqua" w:hAnsi="Book Antiqua"/>
          <w:lang w:eastAsia="en-ID"/>
        </w:rPr>
        <w:t xml:space="preserve"> eligibility at household level. Membership in a given decile does not automatically confer eligibility for every scheme, as PKH, </w:t>
      </w:r>
      <w:proofErr w:type="spellStart"/>
      <w:r w:rsidRPr="00005D95">
        <w:rPr>
          <w:rFonts w:ascii="Book Antiqua" w:hAnsi="Book Antiqua"/>
          <w:lang w:eastAsia="en-ID"/>
        </w:rPr>
        <w:t>Sembako</w:t>
      </w:r>
      <w:proofErr w:type="spellEnd"/>
      <w:r w:rsidRPr="00005D95">
        <w:rPr>
          <w:rFonts w:ascii="Book Antiqua" w:hAnsi="Book Antiqua"/>
          <w:lang w:eastAsia="en-ID"/>
        </w:rPr>
        <w:t>, and JKN PBI each apply distinct qualifying criteria. Even so, the presence of uncovered households in the lowest deciles signals a need for further verification so that genuinely eligible citizens are not bypassed.</w:t>
      </w:r>
    </w:p>
    <w:p w14:paraId="0FA460EB"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The gap follows a rising gradient across deciles, climbing from 23.38 per cent at Decile 1 to 57.70 per cent at Decile 5. That pattern is coherent with </w:t>
      </w:r>
      <w:proofErr w:type="spellStart"/>
      <w:r w:rsidRPr="00005D95">
        <w:rPr>
          <w:rFonts w:ascii="Book Antiqua" w:hAnsi="Book Antiqua"/>
          <w:lang w:eastAsia="en-ID"/>
        </w:rPr>
        <w:t>programme</w:t>
      </w:r>
      <w:proofErr w:type="spellEnd"/>
      <w:r w:rsidRPr="00005D95">
        <w:rPr>
          <w:rFonts w:ascii="Book Antiqua" w:hAnsi="Book Antiqua"/>
          <w:lang w:eastAsia="en-ID"/>
        </w:rPr>
        <w:t xml:space="preserve"> design, since distribution ordinarily </w:t>
      </w:r>
      <w:proofErr w:type="spellStart"/>
      <w:r w:rsidRPr="00005D95">
        <w:rPr>
          <w:rFonts w:ascii="Book Antiqua" w:hAnsi="Book Antiqua"/>
          <w:lang w:eastAsia="en-ID"/>
        </w:rPr>
        <w:t>prioritises</w:t>
      </w:r>
      <w:proofErr w:type="spellEnd"/>
      <w:r w:rsidRPr="00005D95">
        <w:rPr>
          <w:rFonts w:ascii="Book Antiqua" w:hAnsi="Book Antiqua"/>
          <w:lang w:eastAsia="en-ID"/>
        </w:rPr>
        <w:t xml:space="preserve"> the poorest strata, yielding proportionally higher coverage there. In absolute terms, however, the largest shortfall sits at Decile 5 with 58,034 individuals. </w:t>
      </w:r>
      <w:proofErr w:type="spellStart"/>
      <w:r w:rsidRPr="00005D95">
        <w:rPr>
          <w:rFonts w:ascii="Book Antiqua" w:hAnsi="Book Antiqua"/>
          <w:lang w:eastAsia="en-ID"/>
        </w:rPr>
        <w:t>Optimisation</w:t>
      </w:r>
      <w:proofErr w:type="spellEnd"/>
      <w:r w:rsidRPr="00005D95">
        <w:rPr>
          <w:rFonts w:ascii="Book Antiqua" w:hAnsi="Book Antiqua"/>
          <w:lang w:eastAsia="en-ID"/>
        </w:rPr>
        <w:t xml:space="preserve"> strategy must therefore weigh proportional deficits, most relevant for Deciles 1 and 2, alongside absolute deficits, most relevant for Deciles 4 and 5.</w:t>
      </w:r>
    </w:p>
    <w:p w14:paraId="3026BFFC" w14:textId="77777777" w:rsidR="00200738" w:rsidRDefault="00200738" w:rsidP="00200738">
      <w:pPr>
        <w:pStyle w:val="NoSpacing"/>
        <w:jc w:val="both"/>
        <w:rPr>
          <w:rFonts w:ascii="Book Antiqua" w:hAnsi="Book Antiqua"/>
          <w:lang w:eastAsia="en-ID"/>
        </w:rPr>
      </w:pPr>
    </w:p>
    <w:p w14:paraId="599FEB41" w14:textId="77777777" w:rsidR="00200738" w:rsidRPr="00005D95" w:rsidRDefault="00200738" w:rsidP="00200738">
      <w:pPr>
        <w:pStyle w:val="NoSpacing"/>
        <w:jc w:val="both"/>
        <w:rPr>
          <w:rFonts w:ascii="Book Antiqua" w:hAnsi="Book Antiqua"/>
          <w:i/>
          <w:iCs/>
          <w:lang w:eastAsia="en-ID"/>
        </w:rPr>
      </w:pPr>
      <w:r w:rsidRPr="00005D95">
        <w:rPr>
          <w:rFonts w:ascii="Book Antiqua" w:hAnsi="Book Antiqua"/>
          <w:i/>
          <w:iCs/>
          <w:lang w:eastAsia="en-ID"/>
        </w:rPr>
        <w:t>Implementation Assessed Through the Four Edwards III Dimensions</w:t>
      </w:r>
    </w:p>
    <w:p w14:paraId="140A4C71" w14:textId="6BCE2978"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The following sub-sections present findings on each dimension, drawing on accounts from all five informant categories. To strengthen the evidential link between field data and interpretation, selected interview excerpts are incorporated within the narrative and a summary evidence matrix is provided at the close of this section. Communication. Policy information has been disseminated through multiple channels: sub-district deliberative forums, resident meetings, communication involving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units, and citizen access via the </w:t>
      </w:r>
      <w:proofErr w:type="spellStart"/>
      <w:r w:rsidRPr="00005D95">
        <w:rPr>
          <w:rFonts w:ascii="Book Antiqua" w:hAnsi="Book Antiqua"/>
          <w:lang w:eastAsia="en-ID"/>
        </w:rPr>
        <w:t>Cek</w:t>
      </w:r>
      <w:proofErr w:type="spellEnd"/>
      <w:r w:rsidRPr="00005D95">
        <w:rPr>
          <w:rFonts w:ascii="Book Antiqua" w:hAnsi="Book Antiqua"/>
          <w:lang w:eastAsia="en-ID"/>
        </w:rPr>
        <w:t xml:space="preserve"> </w:t>
      </w:r>
      <w:proofErr w:type="spellStart"/>
      <w:r w:rsidRPr="00005D95">
        <w:rPr>
          <w:rFonts w:ascii="Book Antiqua" w:hAnsi="Book Antiqua"/>
          <w:lang w:eastAsia="en-ID"/>
        </w:rPr>
        <w:t>Bansos</w:t>
      </w:r>
      <w:proofErr w:type="spellEnd"/>
      <w:r w:rsidRPr="00005D95">
        <w:rPr>
          <w:rFonts w:ascii="Book Antiqua" w:hAnsi="Book Antiqua"/>
          <w:lang w:eastAsia="en-ID"/>
        </w:rPr>
        <w:t xml:space="preserve"> application. Transmission, in the Edwards sense, is therefore substantially satisfied. The Social Affairs Agency treats communication as a cascading responsibility, forwarding central directives downward through joint </w:t>
      </w:r>
      <w:proofErr w:type="spellStart"/>
      <w:r w:rsidRPr="00005D95">
        <w:rPr>
          <w:rFonts w:ascii="Book Antiqua" w:hAnsi="Book Antiqua"/>
          <w:lang w:eastAsia="en-ID"/>
        </w:rPr>
        <w:t>socialisation</w:t>
      </w:r>
      <w:proofErr w:type="spellEnd"/>
      <w:r w:rsidRPr="00005D95">
        <w:rPr>
          <w:rFonts w:ascii="Book Antiqua" w:hAnsi="Book Antiqua"/>
          <w:lang w:eastAsia="en-ID"/>
        </w:rPr>
        <w:t xml:space="preserve"> events with social assistants, statistics officials, and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One agency official described this process as follows: "We do not simply forward the written instruction. We </w:t>
      </w:r>
      <w:proofErr w:type="spellStart"/>
      <w:r w:rsidRPr="00005D95">
        <w:rPr>
          <w:rFonts w:ascii="Book Antiqua" w:hAnsi="Book Antiqua"/>
          <w:lang w:eastAsia="en-ID"/>
        </w:rPr>
        <w:t>organise</w:t>
      </w:r>
      <w:proofErr w:type="spellEnd"/>
      <w:r w:rsidRPr="00005D95">
        <w:rPr>
          <w:rFonts w:ascii="Book Antiqua" w:hAnsi="Book Antiqua"/>
          <w:lang w:eastAsia="en-ID"/>
        </w:rPr>
        <w:t xml:space="preserve"> joint </w:t>
      </w:r>
      <w:proofErr w:type="spellStart"/>
      <w:r w:rsidRPr="00005D95">
        <w:rPr>
          <w:rFonts w:ascii="Book Antiqua" w:hAnsi="Book Antiqua"/>
          <w:lang w:eastAsia="en-ID"/>
        </w:rPr>
        <w:t>socialisation</w:t>
      </w:r>
      <w:proofErr w:type="spellEnd"/>
      <w:r w:rsidRPr="00005D95">
        <w:rPr>
          <w:rFonts w:ascii="Book Antiqua" w:hAnsi="Book Antiqua"/>
          <w:lang w:eastAsia="en-ID"/>
        </w:rPr>
        <w:t xml:space="preserve"> sessions bringing together social assistants, BPS officers, and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w:t>
      </w:r>
      <w:r w:rsidRPr="00005D95">
        <w:rPr>
          <w:rFonts w:ascii="Book Antiqua" w:hAnsi="Book Antiqua"/>
          <w:lang w:eastAsia="en-ID"/>
        </w:rPr>
        <w:lastRenderedPageBreak/>
        <w:t>heads so that the message reaches every tier directly" (Agency Official, interview, August 2025).</w:t>
      </w:r>
    </w:p>
    <w:p w14:paraId="6A233C5A"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At the sub-district level,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deliver the message through deliberative forums and resident gatherings. Because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are not technically trained administrative personnel, however, the quality of delivery varies according to each individual's own grasp of unfamiliar terminology. A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 in Bogor Selatan acknowledged this challenge: "Some of the new terms, like decile ranking and proxy means test, are difficult even for us to explain. We try our best using everyday language, but we cannot be sure every resident fully understands what has changed from the old system" (RT Head, interview, August 2025).</w:t>
      </w:r>
    </w:p>
    <w:p w14:paraId="64CF3677"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Dissemination has not translated into uniform comprehension. Interviews revealed residents who had not fully grasped the shift from DTKS to DTSEN or the mechanisms accompanying it. One resident reported learning of the transition only when her assistance status changed: "Nobody told me the system had changed. I only found out when my monthly transfer suddenly stopped, and when I asked the RT head, he said the database was now different" (Resident, Decile 2, interview, September 2025). The communication problem thus concerns not the presence of </w:t>
      </w:r>
      <w:proofErr w:type="spellStart"/>
      <w:r w:rsidRPr="00005D95">
        <w:rPr>
          <w:rFonts w:ascii="Book Antiqua" w:hAnsi="Book Antiqua"/>
          <w:lang w:eastAsia="en-ID"/>
        </w:rPr>
        <w:t>socialisation</w:t>
      </w:r>
      <w:proofErr w:type="spellEnd"/>
      <w:r w:rsidRPr="00005D95">
        <w:rPr>
          <w:rFonts w:ascii="Book Antiqua" w:hAnsi="Book Antiqua"/>
          <w:lang w:eastAsia="en-ID"/>
        </w:rPr>
        <w:t xml:space="preserve"> activity but the clarity, consistency, and accessibility of what is conveyed.</w:t>
      </w:r>
    </w:p>
    <w:p w14:paraId="6F56D65B" w14:textId="633C8D03"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Resources. Implementation at sub-district level is supported by computers, internet connectivity, and SIKS-NG access, with administrative routines encompassing system entry, cross-checking against civil registration records, and logging of data changes. Technical facilities are therefore relatively adequate. Human resources are not. Social data management rests on a limited number of officers, and some SIKS-NG operators simultaneously discharge other administrative duties. One operator described the workload as follows: "I handle SIKS-NG data entry, but I am also responsible for general correspondence and other administrative tasks in the </w:t>
      </w:r>
      <w:proofErr w:type="spellStart"/>
      <w:r w:rsidRPr="00005D95">
        <w:rPr>
          <w:rFonts w:ascii="Book Antiqua" w:hAnsi="Book Antiqua"/>
          <w:lang w:eastAsia="en-ID"/>
        </w:rPr>
        <w:t>kelurahan</w:t>
      </w:r>
      <w:proofErr w:type="spellEnd"/>
      <w:r w:rsidRPr="00005D95">
        <w:rPr>
          <w:rFonts w:ascii="Book Antiqua" w:hAnsi="Book Antiqua"/>
          <w:lang w:eastAsia="en-ID"/>
        </w:rPr>
        <w:t>. When proposal volumes are high, I simply cannot update everything on time" (SIKS-NG Operator, Bogor Barat, interview, August 2025). Given the volume of records involved, this dual-tasking risks slowing updating, verification, validation, and follow-up on citizen proposals. The constraint reflects the structurally lean staffing of sub-district offices relative to their administrative workload, implying that sub-districts facing high proposal volumes will update more slowly than quieter ones despite operating identical systems and procedures.</w:t>
      </w:r>
    </w:p>
    <w:p w14:paraId="716A4649"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Disposition. Local implementers broadly support the policy. Officers regard DTSEN as integral to social service delivery, and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occupy a strategic position as intermediaries owing to their direct knowledge of household conditions. A sub-district secretary affirmed: "We see DTSEN as part of our responsibility toward residents. Updating their data is not an extra burden; it is the core of social service at </w:t>
      </w:r>
      <w:proofErr w:type="spellStart"/>
      <w:r w:rsidRPr="00005D95">
        <w:rPr>
          <w:rFonts w:ascii="Book Antiqua" w:hAnsi="Book Antiqua"/>
          <w:lang w:eastAsia="en-ID"/>
        </w:rPr>
        <w:t>kelurahan</w:t>
      </w:r>
      <w:proofErr w:type="spellEnd"/>
      <w:r w:rsidRPr="00005D95">
        <w:rPr>
          <w:rFonts w:ascii="Book Antiqua" w:hAnsi="Book Antiqua"/>
          <w:lang w:eastAsia="en-ID"/>
        </w:rPr>
        <w:t xml:space="preserve"> level" (Sub-district Secretary, Bogor Selatan, interview, August 2025).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demonstrated strong commitment as street-level intermediaries, with one RW head explaining: "Before submitting a proposal, I visit the household myself. I look at the condition of the house, the number of </w:t>
      </w:r>
      <w:proofErr w:type="spellStart"/>
      <w:r w:rsidRPr="00005D95">
        <w:rPr>
          <w:rFonts w:ascii="Book Antiqua" w:hAnsi="Book Antiqua"/>
          <w:lang w:eastAsia="en-ID"/>
        </w:rPr>
        <w:t>dependants</w:t>
      </w:r>
      <w:proofErr w:type="spellEnd"/>
      <w:r w:rsidRPr="00005D95">
        <w:rPr>
          <w:rFonts w:ascii="Book Antiqua" w:hAnsi="Book Antiqua"/>
          <w:lang w:eastAsia="en-ID"/>
        </w:rPr>
        <w:t xml:space="preserve">, whether both parents are working. I want to </w:t>
      </w:r>
      <w:r w:rsidRPr="00005D95">
        <w:rPr>
          <w:rFonts w:ascii="Book Antiqua" w:hAnsi="Book Antiqua"/>
          <w:lang w:eastAsia="en-ID"/>
        </w:rPr>
        <w:lastRenderedPageBreak/>
        <w:t>make sure the proposal reflects the real situation" (RW Head, Bogor Barat, interview, August 2025).</w:t>
      </w:r>
    </w:p>
    <w:p w14:paraId="151747A6"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Commitment, however, is not matched by authority over outcomes. Proposals must traverse system stages and higher-level approval, so while sub-district offices respond promptly to citizen submissions, the determination or alteration of assistance status can take considerable time pending system follow-up. Service speed therefore lies substantially outside local hands, a condition consonant with Lipsky's (2010) account of constrained frontline discretion when final decisions rest beyond the officials closest to citizens. Citizen disposition likewise varies with comprehension: residents who understand that reporting economic change affects their status report more actively, tying disposition directly back to communication effectiveness.</w:t>
      </w:r>
    </w:p>
    <w:p w14:paraId="392458C9"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Bureaucratic Structure. The implementation chain engages citizens,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sub-district officials, and higher agencies, with deliberative forums functioning as the venue for validating proposals. The chain operates through a clear sequence: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identify and propose residents, the </w:t>
      </w:r>
      <w:proofErr w:type="spellStart"/>
      <w:r w:rsidRPr="00005D95">
        <w:rPr>
          <w:rFonts w:ascii="Book Antiqua" w:hAnsi="Book Antiqua"/>
          <w:lang w:eastAsia="en-ID"/>
        </w:rPr>
        <w:t>kelurahan</w:t>
      </w:r>
      <w:proofErr w:type="spellEnd"/>
      <w:r w:rsidRPr="00005D95">
        <w:rPr>
          <w:rFonts w:ascii="Book Antiqua" w:hAnsi="Book Antiqua"/>
          <w:lang w:eastAsia="en-ID"/>
        </w:rPr>
        <w:t xml:space="preserve"> verifies and validates proposals through deliberative forums, then forwards them to the Social Affairs Agency for further processing in SIKS-NG before the central system determines decile ranking. Field observation of a verification session confirmed this sequence, showing all three tiers of actors present simultaneously during a single verification event.</w:t>
      </w:r>
    </w:p>
    <w:p w14:paraId="426EFAAD"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Although the mechanism operates, written standard operating procedures governing verification and validation at sub-district level remain suboptimal. A sub-district official acknowledged: "We do not have a written manual that spells out each step from proposal to verification to forwarding. We follow what we have always done, and when a new officer joins, we explain the process verbally" (Sub-district Official, Bogor Barat, interview, September 2025). Absent binding written procedure, implementation depends heavily on coordination habits, individual experience, and personal understanding. This invites practice variation: sub-districts staffed by experienced officers verify consistently, whereas those experiencing personnel turnover lack any reference document from which newcomers might learn. Citizens ultimately absorb the consequence, reporting differing experiences of speed and clarity depending on where they live.</w:t>
      </w:r>
    </w:p>
    <w:p w14:paraId="369388A7" w14:textId="77777777" w:rsidR="00200738" w:rsidRDefault="00200738" w:rsidP="00200738">
      <w:pPr>
        <w:pStyle w:val="NoSpacing"/>
        <w:jc w:val="both"/>
        <w:rPr>
          <w:rFonts w:ascii="Book Antiqua" w:hAnsi="Book Antiqua"/>
          <w:lang w:eastAsia="en-ID"/>
        </w:rPr>
      </w:pPr>
    </w:p>
    <w:p w14:paraId="54EE4549" w14:textId="77777777" w:rsidR="00200738" w:rsidRPr="00005D95" w:rsidRDefault="00200738" w:rsidP="00200738">
      <w:pPr>
        <w:pStyle w:val="NoSpacing"/>
        <w:jc w:val="both"/>
        <w:rPr>
          <w:rFonts w:ascii="Book Antiqua" w:hAnsi="Book Antiqua"/>
          <w:i/>
          <w:iCs/>
          <w:lang w:eastAsia="en-ID"/>
        </w:rPr>
      </w:pPr>
      <w:r w:rsidRPr="00005D95">
        <w:rPr>
          <w:rFonts w:ascii="Book Antiqua" w:hAnsi="Book Antiqua"/>
          <w:i/>
          <w:iCs/>
          <w:lang w:eastAsia="en-ID"/>
        </w:rPr>
        <w:t>Frontline Proposal Mechanisms and Citizen Experience</w:t>
      </w:r>
    </w:p>
    <w:p w14:paraId="53E4DA75" w14:textId="77777777" w:rsidR="00200738" w:rsidRPr="00005D95" w:rsidRDefault="00200738" w:rsidP="00200738">
      <w:pPr>
        <w:pStyle w:val="NoSpacing"/>
        <w:ind w:firstLine="720"/>
        <w:jc w:val="both"/>
        <w:rPr>
          <w:rFonts w:ascii="Book Antiqua" w:hAnsi="Book Antiqua"/>
          <w:lang w:eastAsia="en-ID"/>
        </w:rPr>
      </w:pP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may submit proposals either through the application or through the sub-district office, weighing housing condition and household economic circumstances when judging eligibility. That informal reasoning parallels the proxy means test logic underpinning decile ranking, indicating alignment between grassroots assessment and central methodology even though the two operate on separate, non-</w:t>
      </w:r>
      <w:proofErr w:type="spellStart"/>
      <w:r w:rsidRPr="00005D95">
        <w:rPr>
          <w:rFonts w:ascii="Book Antiqua" w:hAnsi="Book Antiqua"/>
          <w:lang w:eastAsia="en-ID"/>
        </w:rPr>
        <w:t>synchronised</w:t>
      </w:r>
      <w:proofErr w:type="spellEnd"/>
      <w:r w:rsidRPr="00005D95">
        <w:rPr>
          <w:rFonts w:ascii="Book Antiqua" w:hAnsi="Book Antiqua"/>
          <w:lang w:eastAsia="en-ID"/>
        </w:rPr>
        <w:t xml:space="preserve"> tracks.</w:t>
      </w:r>
    </w:p>
    <w:p w14:paraId="0D9DABA6"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 xml:space="preserve">Once submitted, however, neither </w:t>
      </w:r>
      <w:proofErr w:type="spellStart"/>
      <w:r w:rsidRPr="00005D95">
        <w:rPr>
          <w:rFonts w:ascii="Book Antiqua" w:hAnsi="Book Antiqua"/>
          <w:lang w:eastAsia="en-ID"/>
        </w:rPr>
        <w:t>neighbourhood</w:t>
      </w:r>
      <w:proofErr w:type="spellEnd"/>
      <w:r w:rsidRPr="00005D95">
        <w:rPr>
          <w:rFonts w:ascii="Book Antiqua" w:hAnsi="Book Antiqua"/>
          <w:lang w:eastAsia="en-ID"/>
        </w:rPr>
        <w:t xml:space="preserve"> heads nor sub-district offices control the determination timeline. Residents reported extended waits between application and receipt, frequently without explanation of which stage their submission had reached. One resident described the experience: "I </w:t>
      </w:r>
      <w:r w:rsidRPr="00005D95">
        <w:rPr>
          <w:rFonts w:ascii="Book Antiqua" w:hAnsi="Book Antiqua"/>
          <w:lang w:eastAsia="en-ID"/>
        </w:rPr>
        <w:lastRenderedPageBreak/>
        <w:t xml:space="preserve">submitted my application more than four months ago. Nobody has told me whether it is still being checked at the </w:t>
      </w:r>
      <w:proofErr w:type="spellStart"/>
      <w:r w:rsidRPr="00005D95">
        <w:rPr>
          <w:rFonts w:ascii="Book Antiqua" w:hAnsi="Book Antiqua"/>
          <w:lang w:eastAsia="en-ID"/>
        </w:rPr>
        <w:t>kelurahan</w:t>
      </w:r>
      <w:proofErr w:type="spellEnd"/>
      <w:r w:rsidRPr="00005D95">
        <w:rPr>
          <w:rFonts w:ascii="Book Antiqua" w:hAnsi="Book Antiqua"/>
          <w:lang w:eastAsia="en-ID"/>
        </w:rPr>
        <w:t xml:space="preserve"> or has already been sent to the central system. I just wait without knowing" (Resident, Decile 1, interview, September 2025). Decile reclassification can also alter entitlement in either direction, a reasonable consequence of a continuously updated system but one demanding clear explanation lest citizens attribute the change to administrative error.</w:t>
      </w:r>
    </w:p>
    <w:p w14:paraId="74CEBD6B" w14:textId="77777777" w:rsidR="00200738" w:rsidRDefault="00200738" w:rsidP="00200738">
      <w:pPr>
        <w:pStyle w:val="NoSpacing"/>
        <w:jc w:val="both"/>
        <w:rPr>
          <w:rFonts w:ascii="Book Antiqua" w:hAnsi="Book Antiqua"/>
          <w:lang w:eastAsia="en-ID"/>
        </w:rPr>
      </w:pPr>
    </w:p>
    <w:p w14:paraId="3A45A1F7" w14:textId="77777777" w:rsidR="00200738" w:rsidRPr="00005D95" w:rsidRDefault="00200738" w:rsidP="00200738">
      <w:pPr>
        <w:pStyle w:val="NoSpacing"/>
        <w:jc w:val="both"/>
        <w:rPr>
          <w:rFonts w:ascii="Book Antiqua" w:hAnsi="Book Antiqua"/>
          <w:i/>
          <w:iCs/>
          <w:lang w:eastAsia="en-ID"/>
        </w:rPr>
      </w:pPr>
      <w:r w:rsidRPr="00005D95">
        <w:rPr>
          <w:rFonts w:ascii="Book Antiqua" w:hAnsi="Book Antiqua"/>
          <w:i/>
          <w:iCs/>
          <w:lang w:eastAsia="en-ID"/>
        </w:rPr>
        <w:t>Summary Evidence Matrix</w:t>
      </w:r>
    </w:p>
    <w:p w14:paraId="1C635062" w14:textId="77777777" w:rsidR="00200738" w:rsidRPr="00005D95" w:rsidRDefault="00200738" w:rsidP="00200738">
      <w:pPr>
        <w:pStyle w:val="NoSpacing"/>
        <w:jc w:val="both"/>
        <w:rPr>
          <w:rFonts w:ascii="Book Antiqua" w:hAnsi="Book Antiqua"/>
          <w:lang w:eastAsia="en-ID"/>
        </w:rPr>
      </w:pPr>
      <w:r w:rsidRPr="00005D95">
        <w:rPr>
          <w:rFonts w:ascii="Book Antiqua" w:hAnsi="Book Antiqua"/>
          <w:lang w:eastAsia="en-ID"/>
        </w:rPr>
        <w:t>Table 2 maps the principal findings to their evidential sources across the five informant categories and two supplementary methods, indicating which sources corroborate each thematic finding.</w:t>
      </w:r>
    </w:p>
    <w:p w14:paraId="290F764D" w14:textId="77777777" w:rsidR="00200738" w:rsidRPr="00DD2FA7" w:rsidRDefault="00200738" w:rsidP="00200738">
      <w:pPr>
        <w:pStyle w:val="NoSpacing"/>
        <w:jc w:val="center"/>
        <w:rPr>
          <w:rFonts w:ascii="Book Antiqua" w:eastAsiaTheme="minorHAnsi" w:hAnsi="Book Antiqua" w:cstheme="minorBidi"/>
          <w:b/>
          <w:lang w:eastAsia="en-ID"/>
        </w:rPr>
      </w:pPr>
      <w:r w:rsidRPr="00DD2FA7">
        <w:rPr>
          <w:rFonts w:ascii="Book Antiqua" w:hAnsi="Book Antiqua"/>
          <w:b/>
          <w:bCs/>
          <w:lang w:eastAsia="en-ID"/>
        </w:rPr>
        <w:t>Table 2.</w:t>
      </w:r>
      <w:r w:rsidRPr="00DD2FA7">
        <w:rPr>
          <w:rFonts w:ascii="Book Antiqua" w:hAnsi="Book Antiqua"/>
          <w:b/>
          <w:lang w:eastAsia="en-ID"/>
        </w:rPr>
        <w:t xml:space="preserve"> Evidence Matrix by Edwards III Dimension and Source</w:t>
      </w:r>
    </w:p>
    <w:tbl>
      <w:tblPr>
        <w:tblStyle w:val="TableGrid"/>
        <w:tblW w:w="0" w:type="auto"/>
        <w:tblLook w:val="04A0" w:firstRow="1" w:lastRow="0" w:firstColumn="1" w:lastColumn="0" w:noHBand="0" w:noVBand="1"/>
      </w:tblPr>
      <w:tblGrid>
        <w:gridCol w:w="1264"/>
        <w:gridCol w:w="1186"/>
        <w:gridCol w:w="784"/>
        <w:gridCol w:w="863"/>
        <w:gridCol w:w="863"/>
        <w:gridCol w:w="700"/>
        <w:gridCol w:w="855"/>
        <w:gridCol w:w="1021"/>
        <w:gridCol w:w="958"/>
      </w:tblGrid>
      <w:tr w:rsidR="00200738" w:rsidRPr="00355E5C" w14:paraId="13B56D4F" w14:textId="77777777" w:rsidTr="00836081">
        <w:tc>
          <w:tcPr>
            <w:tcW w:w="0" w:type="auto"/>
            <w:hideMark/>
          </w:tcPr>
          <w:p w14:paraId="513A3260"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Dimension</w:t>
            </w:r>
          </w:p>
        </w:tc>
        <w:tc>
          <w:tcPr>
            <w:tcW w:w="0" w:type="auto"/>
            <w:hideMark/>
          </w:tcPr>
          <w:p w14:paraId="40AB74E0"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Thematic Finding</w:t>
            </w:r>
          </w:p>
        </w:tc>
        <w:tc>
          <w:tcPr>
            <w:tcW w:w="0" w:type="auto"/>
            <w:hideMark/>
          </w:tcPr>
          <w:p w14:paraId="0CAF93B7"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Agency Officials</w:t>
            </w:r>
          </w:p>
        </w:tc>
        <w:tc>
          <w:tcPr>
            <w:tcW w:w="0" w:type="auto"/>
            <w:hideMark/>
          </w:tcPr>
          <w:p w14:paraId="46C27AE5"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Sub-district Personnel</w:t>
            </w:r>
          </w:p>
        </w:tc>
        <w:tc>
          <w:tcPr>
            <w:tcW w:w="0" w:type="auto"/>
            <w:hideMark/>
          </w:tcPr>
          <w:p w14:paraId="2DF16B80"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SIKS-NG Operators</w:t>
            </w:r>
          </w:p>
        </w:tc>
        <w:tc>
          <w:tcPr>
            <w:tcW w:w="0" w:type="auto"/>
            <w:hideMark/>
          </w:tcPr>
          <w:p w14:paraId="21B5CBD8"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RT/RW Heads</w:t>
            </w:r>
          </w:p>
        </w:tc>
        <w:tc>
          <w:tcPr>
            <w:tcW w:w="0" w:type="auto"/>
            <w:hideMark/>
          </w:tcPr>
          <w:p w14:paraId="5659D5BD"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Residents</w:t>
            </w:r>
          </w:p>
        </w:tc>
        <w:tc>
          <w:tcPr>
            <w:tcW w:w="0" w:type="auto"/>
            <w:hideMark/>
          </w:tcPr>
          <w:p w14:paraId="4F699D4F"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Observation</w:t>
            </w:r>
          </w:p>
        </w:tc>
        <w:tc>
          <w:tcPr>
            <w:tcW w:w="0" w:type="auto"/>
            <w:hideMark/>
          </w:tcPr>
          <w:p w14:paraId="21C4BDE3" w14:textId="77777777" w:rsidR="00200738" w:rsidRPr="00DD2FA7" w:rsidRDefault="00200738" w:rsidP="00836081">
            <w:pPr>
              <w:jc w:val="center"/>
              <w:rPr>
                <w:rFonts w:ascii="Book Antiqua" w:eastAsia="Times New Roman" w:hAnsi="Book Antiqua" w:cs="Times New Roman"/>
                <w:b/>
                <w:bCs/>
                <w:sz w:val="20"/>
                <w:szCs w:val="20"/>
                <w:lang w:eastAsia="en-ID"/>
              </w:rPr>
            </w:pPr>
            <w:r w:rsidRPr="00DD2FA7">
              <w:rPr>
                <w:rFonts w:ascii="Book Antiqua" w:eastAsia="Times New Roman" w:hAnsi="Book Antiqua" w:cs="Times New Roman"/>
                <w:b/>
                <w:bCs/>
                <w:sz w:val="20"/>
                <w:szCs w:val="20"/>
                <w:lang w:eastAsia="en-ID"/>
              </w:rPr>
              <w:t>Documents</w:t>
            </w:r>
          </w:p>
        </w:tc>
      </w:tr>
      <w:tr w:rsidR="00200738" w:rsidRPr="00355E5C" w14:paraId="373D2EC6" w14:textId="77777777" w:rsidTr="00836081">
        <w:tc>
          <w:tcPr>
            <w:tcW w:w="0" w:type="auto"/>
            <w:hideMark/>
          </w:tcPr>
          <w:p w14:paraId="322F19E3"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Communication</w:t>
            </w:r>
          </w:p>
        </w:tc>
        <w:tc>
          <w:tcPr>
            <w:tcW w:w="0" w:type="auto"/>
            <w:hideMark/>
          </w:tcPr>
          <w:p w14:paraId="5400D70E"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 xml:space="preserve">Tiered </w:t>
            </w:r>
            <w:proofErr w:type="spellStart"/>
            <w:r w:rsidRPr="00DD2FA7">
              <w:rPr>
                <w:rFonts w:ascii="Book Antiqua" w:eastAsia="Times New Roman" w:hAnsi="Book Antiqua" w:cs="Times New Roman"/>
                <w:sz w:val="20"/>
                <w:szCs w:val="20"/>
                <w:lang w:eastAsia="en-ID"/>
              </w:rPr>
              <w:t>socialisation</w:t>
            </w:r>
            <w:proofErr w:type="spellEnd"/>
            <w:r w:rsidRPr="00DD2FA7">
              <w:rPr>
                <w:rFonts w:ascii="Book Antiqua" w:eastAsia="Times New Roman" w:hAnsi="Book Antiqua" w:cs="Times New Roman"/>
                <w:sz w:val="20"/>
                <w:szCs w:val="20"/>
                <w:lang w:eastAsia="en-ID"/>
              </w:rPr>
              <w:t xml:space="preserve"> channels operational</w:t>
            </w:r>
          </w:p>
        </w:tc>
        <w:tc>
          <w:tcPr>
            <w:tcW w:w="0" w:type="auto"/>
            <w:hideMark/>
          </w:tcPr>
          <w:p w14:paraId="3F4719C4"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5B43A57"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0E2ECFA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34E22944"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6355F47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739130A1"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4038CC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r>
      <w:tr w:rsidR="00200738" w:rsidRPr="00355E5C" w14:paraId="3736532E" w14:textId="77777777" w:rsidTr="00836081">
        <w:tc>
          <w:tcPr>
            <w:tcW w:w="0" w:type="auto"/>
            <w:hideMark/>
          </w:tcPr>
          <w:p w14:paraId="41383267"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Communication</w:t>
            </w:r>
          </w:p>
        </w:tc>
        <w:tc>
          <w:tcPr>
            <w:tcW w:w="0" w:type="auto"/>
            <w:hideMark/>
          </w:tcPr>
          <w:p w14:paraId="23F27668"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Uneven public comprehension of DTKS-to-DTSEN transition</w:t>
            </w:r>
          </w:p>
        </w:tc>
        <w:tc>
          <w:tcPr>
            <w:tcW w:w="0" w:type="auto"/>
            <w:hideMark/>
          </w:tcPr>
          <w:p w14:paraId="27B53738"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6E142519"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15E03469"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5474B3A"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B1DDAE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36443F6"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288FFEF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r w:rsidR="00200738" w:rsidRPr="00355E5C" w14:paraId="679F449A" w14:textId="77777777" w:rsidTr="00836081">
        <w:tc>
          <w:tcPr>
            <w:tcW w:w="0" w:type="auto"/>
            <w:hideMark/>
          </w:tcPr>
          <w:p w14:paraId="3A21DDAF"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Resources</w:t>
            </w:r>
          </w:p>
        </w:tc>
        <w:tc>
          <w:tcPr>
            <w:tcW w:w="0" w:type="auto"/>
            <w:hideMark/>
          </w:tcPr>
          <w:p w14:paraId="40425179"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Adequate technical facilities</w:t>
            </w:r>
          </w:p>
        </w:tc>
        <w:tc>
          <w:tcPr>
            <w:tcW w:w="0" w:type="auto"/>
            <w:hideMark/>
          </w:tcPr>
          <w:p w14:paraId="4B3C7310"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6916FA10"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1841C11"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435935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066332C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26A0980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79F5D953"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r>
      <w:tr w:rsidR="00200738" w:rsidRPr="00355E5C" w14:paraId="6B04DF77" w14:textId="77777777" w:rsidTr="00836081">
        <w:tc>
          <w:tcPr>
            <w:tcW w:w="0" w:type="auto"/>
            <w:hideMark/>
          </w:tcPr>
          <w:p w14:paraId="6417C719"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Resources</w:t>
            </w:r>
          </w:p>
        </w:tc>
        <w:tc>
          <w:tcPr>
            <w:tcW w:w="0" w:type="auto"/>
            <w:hideMark/>
          </w:tcPr>
          <w:p w14:paraId="7F3DED49"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Limited operators and overlapping duties</w:t>
            </w:r>
          </w:p>
        </w:tc>
        <w:tc>
          <w:tcPr>
            <w:tcW w:w="0" w:type="auto"/>
            <w:hideMark/>
          </w:tcPr>
          <w:p w14:paraId="05C4F63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70277193"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43D186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6DEE989"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0B201B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7F988C0"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1B000678"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r w:rsidR="00200738" w:rsidRPr="00355E5C" w14:paraId="13DD2FE4" w14:textId="77777777" w:rsidTr="00836081">
        <w:tc>
          <w:tcPr>
            <w:tcW w:w="0" w:type="auto"/>
            <w:hideMark/>
          </w:tcPr>
          <w:p w14:paraId="34FDC913"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Disposition</w:t>
            </w:r>
          </w:p>
        </w:tc>
        <w:tc>
          <w:tcPr>
            <w:tcW w:w="0" w:type="auto"/>
            <w:hideMark/>
          </w:tcPr>
          <w:p w14:paraId="0717A6A9"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Strong commitment among local implementers</w:t>
            </w:r>
          </w:p>
        </w:tc>
        <w:tc>
          <w:tcPr>
            <w:tcW w:w="0" w:type="auto"/>
            <w:hideMark/>
          </w:tcPr>
          <w:p w14:paraId="3161632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0026C7F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6AD2D414"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51EF2B0"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7F510FB1"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63D3FD9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56B5B492"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r w:rsidR="00200738" w:rsidRPr="00355E5C" w14:paraId="55C47484" w14:textId="77777777" w:rsidTr="00836081">
        <w:tc>
          <w:tcPr>
            <w:tcW w:w="0" w:type="auto"/>
            <w:hideMark/>
          </w:tcPr>
          <w:p w14:paraId="2782F20E"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Disposition</w:t>
            </w:r>
          </w:p>
        </w:tc>
        <w:tc>
          <w:tcPr>
            <w:tcW w:w="0" w:type="auto"/>
            <w:hideMark/>
          </w:tcPr>
          <w:p w14:paraId="658CCDB6"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Final determination authority outside local control</w:t>
            </w:r>
          </w:p>
        </w:tc>
        <w:tc>
          <w:tcPr>
            <w:tcW w:w="0" w:type="auto"/>
            <w:hideMark/>
          </w:tcPr>
          <w:p w14:paraId="65BCBC05"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14860427"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745A1B11"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FCD3F48"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40017A68"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13C1CC0A"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0CBD5076"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r>
      <w:tr w:rsidR="00200738" w:rsidRPr="00355E5C" w14:paraId="55F027F4" w14:textId="77777777" w:rsidTr="00836081">
        <w:tc>
          <w:tcPr>
            <w:tcW w:w="0" w:type="auto"/>
            <w:hideMark/>
          </w:tcPr>
          <w:p w14:paraId="6CB6C7E3"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lastRenderedPageBreak/>
              <w:t>Bureaucratic Structure</w:t>
            </w:r>
          </w:p>
        </w:tc>
        <w:tc>
          <w:tcPr>
            <w:tcW w:w="0" w:type="auto"/>
            <w:hideMark/>
          </w:tcPr>
          <w:p w14:paraId="3B1F4ACC"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Established coordination chain</w:t>
            </w:r>
          </w:p>
        </w:tc>
        <w:tc>
          <w:tcPr>
            <w:tcW w:w="0" w:type="auto"/>
            <w:hideMark/>
          </w:tcPr>
          <w:p w14:paraId="3A854D5A"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6F535F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824D88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289417BA"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545EFC22"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AFB7BB7"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7CC613B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r>
      <w:tr w:rsidR="00200738" w:rsidRPr="00355E5C" w14:paraId="767F0EDB" w14:textId="77777777" w:rsidTr="00836081">
        <w:tc>
          <w:tcPr>
            <w:tcW w:w="0" w:type="auto"/>
            <w:hideMark/>
          </w:tcPr>
          <w:p w14:paraId="7939A3DD"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Bureaucratic Structure</w:t>
            </w:r>
          </w:p>
        </w:tc>
        <w:tc>
          <w:tcPr>
            <w:tcW w:w="0" w:type="auto"/>
            <w:hideMark/>
          </w:tcPr>
          <w:p w14:paraId="33504887"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Written SOPs not yet optimal</w:t>
            </w:r>
          </w:p>
        </w:tc>
        <w:tc>
          <w:tcPr>
            <w:tcW w:w="0" w:type="auto"/>
            <w:hideMark/>
          </w:tcPr>
          <w:p w14:paraId="29FB249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22B825A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0D8A2FBF"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09567A52"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59F5DA6"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DD89C8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9FA6845"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r w:rsidR="00200738" w:rsidRPr="00355E5C" w14:paraId="716A325E" w14:textId="77777777" w:rsidTr="00836081">
        <w:tc>
          <w:tcPr>
            <w:tcW w:w="0" w:type="auto"/>
            <w:hideMark/>
          </w:tcPr>
          <w:p w14:paraId="0369E811"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Cross-cutting</w:t>
            </w:r>
          </w:p>
        </w:tc>
        <w:tc>
          <w:tcPr>
            <w:tcW w:w="0" w:type="auto"/>
            <w:hideMark/>
          </w:tcPr>
          <w:p w14:paraId="10F87513"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Extended waiting without progress information</w:t>
            </w:r>
          </w:p>
        </w:tc>
        <w:tc>
          <w:tcPr>
            <w:tcW w:w="0" w:type="auto"/>
            <w:hideMark/>
          </w:tcPr>
          <w:p w14:paraId="26B0036A"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497FC51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45B9A793"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7E5E9B86"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0E815DD1"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13F8D167"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4B8611E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r w:rsidR="00200738" w:rsidRPr="00355E5C" w14:paraId="6F2FF5CB" w14:textId="77777777" w:rsidTr="00836081">
        <w:tc>
          <w:tcPr>
            <w:tcW w:w="0" w:type="auto"/>
            <w:hideMark/>
          </w:tcPr>
          <w:p w14:paraId="121B43BA"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b/>
                <w:bCs/>
                <w:sz w:val="20"/>
                <w:szCs w:val="20"/>
                <w:lang w:eastAsia="en-ID"/>
              </w:rPr>
              <w:t>Cross-cutting</w:t>
            </w:r>
          </w:p>
        </w:tc>
        <w:tc>
          <w:tcPr>
            <w:tcW w:w="0" w:type="auto"/>
            <w:hideMark/>
          </w:tcPr>
          <w:p w14:paraId="3B01E88C" w14:textId="77777777" w:rsidR="00200738" w:rsidRPr="00DD2FA7" w:rsidRDefault="00200738" w:rsidP="00836081">
            <w:pP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Discretion concentrated at initial assessment stage</w:t>
            </w:r>
          </w:p>
        </w:tc>
        <w:tc>
          <w:tcPr>
            <w:tcW w:w="0" w:type="auto"/>
            <w:hideMark/>
          </w:tcPr>
          <w:p w14:paraId="5343229E"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5193E67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31FDE9C8"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74FE631D"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5E2D37FC"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c>
          <w:tcPr>
            <w:tcW w:w="0" w:type="auto"/>
            <w:hideMark/>
          </w:tcPr>
          <w:p w14:paraId="07C9A07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Segoe UI Symbol" w:eastAsia="Times New Roman" w:hAnsi="Segoe UI Symbol" w:cs="Segoe UI Symbol"/>
                <w:sz w:val="20"/>
                <w:szCs w:val="20"/>
                <w:lang w:eastAsia="en-ID"/>
              </w:rPr>
              <w:t>✓</w:t>
            </w:r>
          </w:p>
        </w:tc>
        <w:tc>
          <w:tcPr>
            <w:tcW w:w="0" w:type="auto"/>
            <w:hideMark/>
          </w:tcPr>
          <w:p w14:paraId="5D1E51AB" w14:textId="77777777" w:rsidR="00200738" w:rsidRPr="00DD2FA7" w:rsidRDefault="00200738" w:rsidP="00836081">
            <w:pPr>
              <w:jc w:val="center"/>
              <w:rPr>
                <w:rFonts w:ascii="Book Antiqua" w:eastAsia="Times New Roman" w:hAnsi="Book Antiqua" w:cs="Times New Roman"/>
                <w:sz w:val="20"/>
                <w:szCs w:val="20"/>
                <w:lang w:eastAsia="en-ID"/>
              </w:rPr>
            </w:pPr>
            <w:r w:rsidRPr="00DD2FA7">
              <w:rPr>
                <w:rFonts w:ascii="Book Antiqua" w:eastAsia="Times New Roman" w:hAnsi="Book Antiqua" w:cs="Times New Roman"/>
                <w:sz w:val="20"/>
                <w:szCs w:val="20"/>
                <w:lang w:eastAsia="en-ID"/>
              </w:rPr>
              <w:t>—</w:t>
            </w:r>
          </w:p>
        </w:tc>
      </w:tr>
    </w:tbl>
    <w:p w14:paraId="1DF5636F" w14:textId="77777777" w:rsidR="00200738" w:rsidRPr="00DD2FA7" w:rsidRDefault="00200738" w:rsidP="00200738">
      <w:pPr>
        <w:pStyle w:val="NoSpacing"/>
        <w:jc w:val="both"/>
        <w:rPr>
          <w:rFonts w:ascii="Book Antiqua" w:hAnsi="Book Antiqua"/>
          <w:sz w:val="22"/>
          <w:szCs w:val="22"/>
          <w:lang w:eastAsia="en-ID"/>
        </w:rPr>
      </w:pPr>
    </w:p>
    <w:p w14:paraId="69F4685F" w14:textId="77777777" w:rsidR="00200738" w:rsidRPr="00DD2FA7" w:rsidRDefault="00200738" w:rsidP="00200738">
      <w:pPr>
        <w:pStyle w:val="NoSpacing"/>
        <w:jc w:val="both"/>
        <w:rPr>
          <w:rFonts w:ascii="Book Antiqua" w:hAnsi="Book Antiqua"/>
          <w:sz w:val="22"/>
          <w:szCs w:val="22"/>
          <w:lang w:eastAsia="en-ID"/>
        </w:rPr>
      </w:pPr>
      <w:r w:rsidRPr="00DD2FA7">
        <w:rPr>
          <w:rFonts w:ascii="Book Antiqua" w:hAnsi="Book Antiqua"/>
          <w:sz w:val="22"/>
          <w:szCs w:val="22"/>
          <w:lang w:eastAsia="en-ID"/>
        </w:rPr>
        <w:t>Source: Processed by the researcher from interviews, observation, and documentation, 2026.</w:t>
      </w:r>
    </w:p>
    <w:p w14:paraId="6054F68D" w14:textId="3F9F3C48" w:rsidR="00200738" w:rsidRPr="00005D95" w:rsidRDefault="00DD2FA7" w:rsidP="00200738">
      <w:pPr>
        <w:pStyle w:val="NoSpacing"/>
        <w:jc w:val="both"/>
        <w:rPr>
          <w:rFonts w:ascii="Book Antiqua" w:hAnsi="Book Antiqua"/>
          <w:lang w:eastAsia="en-ID"/>
        </w:rPr>
      </w:pPr>
      <w:r>
        <w:rPr>
          <w:rFonts w:ascii="Book Antiqua" w:hAnsi="Book Antiqua"/>
          <w:lang w:eastAsia="en-ID"/>
        </w:rPr>
        <w:tab/>
      </w:r>
      <w:r w:rsidR="00200738" w:rsidRPr="00005D95">
        <w:rPr>
          <w:rFonts w:ascii="Book Antiqua" w:hAnsi="Book Antiqua"/>
          <w:lang w:eastAsia="en-ID"/>
        </w:rPr>
        <w:t xml:space="preserve">The matrix demonstrates that no single thematic finding rests on a single informant category alone. Supporting factors, namely functioning </w:t>
      </w:r>
      <w:proofErr w:type="spellStart"/>
      <w:r w:rsidR="00200738" w:rsidRPr="00005D95">
        <w:rPr>
          <w:rFonts w:ascii="Book Antiqua" w:hAnsi="Book Antiqua"/>
          <w:lang w:eastAsia="en-ID"/>
        </w:rPr>
        <w:t>socialisation</w:t>
      </w:r>
      <w:proofErr w:type="spellEnd"/>
      <w:r w:rsidR="00200738" w:rsidRPr="00005D95">
        <w:rPr>
          <w:rFonts w:ascii="Book Antiqua" w:hAnsi="Book Antiqua"/>
          <w:lang w:eastAsia="en-ID"/>
        </w:rPr>
        <w:t xml:space="preserve"> channels, adequate technical facilities, strong local commitment, and an established coordination chain, are corroborated across multiple sources including direct observation and documentary evidence. Inhibiting factors, namely uneven comprehension, limited operator capacity, </w:t>
      </w:r>
      <w:proofErr w:type="spellStart"/>
      <w:r w:rsidR="00200738" w:rsidRPr="00005D95">
        <w:rPr>
          <w:rFonts w:ascii="Book Antiqua" w:hAnsi="Book Antiqua"/>
          <w:lang w:eastAsia="en-ID"/>
        </w:rPr>
        <w:t>centralised</w:t>
      </w:r>
      <w:proofErr w:type="spellEnd"/>
      <w:r w:rsidR="00200738" w:rsidRPr="00005D95">
        <w:rPr>
          <w:rFonts w:ascii="Book Antiqua" w:hAnsi="Book Antiqua"/>
          <w:lang w:eastAsia="en-ID"/>
        </w:rPr>
        <w:t xml:space="preserve"> determination authority, and absent written procedures, are similarly triangulated, with citizen accounts providing the experiential verification of structural constraints identified by implementing officials.</w:t>
      </w:r>
    </w:p>
    <w:p w14:paraId="36836A99" w14:textId="77777777" w:rsidR="00200738" w:rsidRPr="00005D95" w:rsidRDefault="00200738" w:rsidP="00200738">
      <w:pPr>
        <w:pStyle w:val="NoSpacing"/>
        <w:ind w:firstLine="720"/>
        <w:jc w:val="both"/>
        <w:rPr>
          <w:rFonts w:ascii="Book Antiqua" w:hAnsi="Book Antiqua"/>
          <w:lang w:eastAsia="en-ID"/>
        </w:rPr>
      </w:pPr>
      <w:r w:rsidRPr="00005D95">
        <w:rPr>
          <w:rFonts w:ascii="Book Antiqua" w:hAnsi="Book Antiqua"/>
          <w:lang w:eastAsia="en-ID"/>
        </w:rPr>
        <w:t>Examining the four dimensions together reveals a consistent pattern: supporting factors reside in available facilities and individual commitment, whereas inhibiting factors reside in structural capacity and authority. The pattern confirms that the obstacle to implementation is not an absence of goodwill or basic infrastructure, but a gap between that goodwill and the structural support necessary to translate it into optimal service delivery, a conclusion deepened in the discussion section that follows.</w:t>
      </w:r>
    </w:p>
    <w:p w14:paraId="3BE851B6" w14:textId="77777777" w:rsidR="00A85629" w:rsidRDefault="00A85629" w:rsidP="00A85629">
      <w:pPr>
        <w:spacing w:after="0" w:line="240" w:lineRule="auto"/>
        <w:jc w:val="both"/>
        <w:rPr>
          <w:rFonts w:ascii="Book Antiqua" w:eastAsia="Book Antiqua" w:hAnsi="Book Antiqua" w:cs="Book Antiqua"/>
          <w:color w:val="000000"/>
          <w:sz w:val="24"/>
          <w:szCs w:val="24"/>
        </w:rPr>
      </w:pPr>
    </w:p>
    <w:p w14:paraId="4E63E5A9" w14:textId="77777777" w:rsidR="00622DA4" w:rsidRDefault="0038031F">
      <w:pPr>
        <w:spacing w:after="0" w:line="240" w:lineRule="auto"/>
        <w:jc w:val="both"/>
        <w:rPr>
          <w:rFonts w:ascii="Book Antiqua" w:eastAsia="Book Antiqua" w:hAnsi="Book Antiqua" w:cs="Book Antiqua"/>
          <w:b/>
          <w:sz w:val="24"/>
          <w:szCs w:val="24"/>
        </w:rPr>
      </w:pPr>
      <w:r>
        <w:rPr>
          <w:rFonts w:ascii="Book Antiqua" w:eastAsia="Book Antiqua" w:hAnsi="Book Antiqua" w:cs="Book Antiqua"/>
          <w:b/>
          <w:sz w:val="24"/>
          <w:szCs w:val="24"/>
        </w:rPr>
        <w:t>DISCUSSION</w:t>
      </w:r>
    </w:p>
    <w:p w14:paraId="27CB9A83" w14:textId="77777777"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Data Availability Does Not Equal Service Reach</w:t>
      </w:r>
    </w:p>
    <w:p w14:paraId="7659304D" w14:textId="77777777" w:rsidR="003A22C8"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central lesson emerging from Bogor City is that possessing an integrated registry and delivering assistance accurately are two separate achievements. All 463,466 residents classified within Deciles 1 through 5 are recorded and ranked, yet 168,781 of them remain outside every assistance scheme. This figure constitutes a coverage gap rather than a measured targeting error, since the study did not independently audit whether each uncovered household satisfies the specific eligibility criteria of PKH, </w:t>
      </w:r>
      <w:proofErr w:type="spellStart"/>
      <w:r w:rsidRPr="00355E5C">
        <w:rPr>
          <w:rFonts w:ascii="Book Antiqua" w:hAnsi="Book Antiqua"/>
          <w:lang w:eastAsia="en-ID"/>
        </w:rPr>
        <w:t>Sembako</w:t>
      </w:r>
      <w:proofErr w:type="spellEnd"/>
      <w:r w:rsidRPr="00355E5C">
        <w:rPr>
          <w:rFonts w:ascii="Book Antiqua" w:hAnsi="Book Antiqua"/>
          <w:lang w:eastAsia="en-ID"/>
        </w:rPr>
        <w:t xml:space="preserve">, or JKN PBI. The registry has therefore succeeded at what it was built to do, rendering </w:t>
      </w:r>
      <w:r w:rsidRPr="00355E5C">
        <w:rPr>
          <w:rFonts w:ascii="Book Antiqua" w:hAnsi="Book Antiqua"/>
          <w:lang w:eastAsia="en-ID"/>
        </w:rPr>
        <w:lastRenderedPageBreak/>
        <w:t xml:space="preserve">household welfare legible to the state, while the administrative machinery required to move a listed household from registry entry to </w:t>
      </w:r>
      <w:proofErr w:type="spellStart"/>
      <w:r w:rsidRPr="00355E5C">
        <w:rPr>
          <w:rFonts w:ascii="Book Antiqua" w:hAnsi="Book Antiqua"/>
          <w:lang w:eastAsia="en-ID"/>
        </w:rPr>
        <w:t>programme</w:t>
      </w:r>
      <w:proofErr w:type="spellEnd"/>
      <w:r w:rsidRPr="00355E5C">
        <w:rPr>
          <w:rFonts w:ascii="Book Antiqua" w:hAnsi="Book Antiqua"/>
          <w:lang w:eastAsia="en-ID"/>
        </w:rPr>
        <w:t xml:space="preserve"> participation has not kept pace. </w:t>
      </w:r>
    </w:p>
    <w:p w14:paraId="48F353F4" w14:textId="69CA317A" w:rsidR="003A22C8" w:rsidRDefault="003A22C8" w:rsidP="003A22C8">
      <w:pPr>
        <w:pStyle w:val="NoSpacing"/>
        <w:ind w:firstLine="720"/>
        <w:jc w:val="both"/>
        <w:rPr>
          <w:rFonts w:ascii="Book Antiqua" w:hAnsi="Book Antiqua"/>
          <w:lang w:eastAsia="en-ID"/>
        </w:rPr>
      </w:pPr>
      <w:r w:rsidRPr="00355E5C">
        <w:rPr>
          <w:rFonts w:ascii="Book Antiqua" w:hAnsi="Book Antiqua"/>
          <w:lang w:eastAsia="en-ID"/>
        </w:rPr>
        <w:t>This distinction matters because policy debate around single-registry reform habitually treats data accuracy as the binding constraint, implying that better records automatically yield better targeting. The Bogor evidence complicates that assumption. Zuiderwijk and Janssen (2014) anticipated precisely this in arguing that government data policies generate impact through institutional arrangements rather than through technological provision, and the present findings supply empirical confirmation from a domain with immediate welfare consequences. Henman (2022) reinforces the point by demonstrating that automated welfare systems create a false sense of comprehensiveness: the existence of a record does not guarantee that the institutional pathway connecting that record to a service counter is functional.</w:t>
      </w:r>
    </w:p>
    <w:p w14:paraId="0CD903B1" w14:textId="77777777" w:rsidR="00DD2FA7" w:rsidRPr="00355E5C" w:rsidRDefault="00DD2FA7" w:rsidP="003A22C8">
      <w:pPr>
        <w:pStyle w:val="NoSpacing"/>
        <w:ind w:firstLine="720"/>
        <w:jc w:val="both"/>
        <w:rPr>
          <w:rFonts w:ascii="Book Antiqua" w:hAnsi="Book Antiqua"/>
          <w:lang w:eastAsia="en-ID"/>
        </w:rPr>
      </w:pPr>
    </w:p>
    <w:p w14:paraId="39E8929B" w14:textId="77777777"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Communication Channels Without Communicative Effect</w:t>
      </w:r>
    </w:p>
    <w:p w14:paraId="2A4D0B6B"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Assessed against the three communication indicators specified by Edwards III (1980), the case displays an uneven profile. Transmission functions well: directives cascade from the ministry through the municipal agency to sub-districts, and residents can access status information independently through a mobile application. Clarity, however, falters. Interviews surfaced residents who had not </w:t>
      </w:r>
      <w:proofErr w:type="spellStart"/>
      <w:r w:rsidRPr="00355E5C">
        <w:rPr>
          <w:rFonts w:ascii="Book Antiqua" w:hAnsi="Book Antiqua"/>
          <w:lang w:eastAsia="en-ID"/>
        </w:rPr>
        <w:t>internalised</w:t>
      </w:r>
      <w:proofErr w:type="spellEnd"/>
      <w:r w:rsidRPr="00355E5C">
        <w:rPr>
          <w:rFonts w:ascii="Book Antiqua" w:hAnsi="Book Antiqua"/>
          <w:lang w:eastAsia="en-ID"/>
        </w:rPr>
        <w:t xml:space="preserve"> what distinguishes DTSEN from its predecessor, some discovering the change only when their entitlement shifted. This is a qualitatively different problem from the one documented in earlier work. </w:t>
      </w:r>
      <w:proofErr w:type="spellStart"/>
      <w:r w:rsidRPr="00355E5C">
        <w:rPr>
          <w:rFonts w:ascii="Book Antiqua" w:hAnsi="Book Antiqua"/>
          <w:lang w:eastAsia="en-ID"/>
        </w:rPr>
        <w:t>Haikal</w:t>
      </w:r>
      <w:proofErr w:type="spellEnd"/>
      <w:r w:rsidRPr="00355E5C">
        <w:rPr>
          <w:rFonts w:ascii="Book Antiqua" w:hAnsi="Book Antiqua"/>
          <w:lang w:eastAsia="en-ID"/>
        </w:rPr>
        <w:t xml:space="preserve"> and </w:t>
      </w:r>
      <w:proofErr w:type="spellStart"/>
      <w:r w:rsidRPr="00355E5C">
        <w:rPr>
          <w:rFonts w:ascii="Book Antiqua" w:hAnsi="Book Antiqua"/>
          <w:lang w:eastAsia="en-ID"/>
        </w:rPr>
        <w:t>Fitriati</w:t>
      </w:r>
      <w:proofErr w:type="spellEnd"/>
      <w:r w:rsidRPr="00355E5C">
        <w:rPr>
          <w:rFonts w:ascii="Book Antiqua" w:hAnsi="Book Antiqua"/>
          <w:lang w:eastAsia="en-ID"/>
        </w:rPr>
        <w:t xml:space="preserve"> (2023), applying the same framework to pandemic-era cash assistance, identified communication as decisive largely in terms of channel availability under emergency conditions. In Bogor the channels exist and function; what fails is the translation of an unfamiliar technical vocabulary, including decile ranking, proxy-based welfare estimation, and tiered verification, into terms an ordinary claimant can act upon.</w:t>
      </w:r>
    </w:p>
    <w:p w14:paraId="68BBC9CE"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problem is compounded structurally: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heads carry the heaviest communicative burden precisely because they are closest to residents, yet they hold no administrative training in population data management, so message quality varies with each individual's own comprehension. Kuhn and Stillman (2023) documented an analogous pattern during registry transitions in post-Soviet states, where the terminology of successor systems outpaced the explanatory capacity of local officials, producing a comprehension deficit that additional dissemination activity alone could not resolve. Policy transition, in other words, generates a comprehension deficit that no amount of additional dissemination activity resolves by itself.</w:t>
      </w:r>
    </w:p>
    <w:p w14:paraId="2852CBBD" w14:textId="77777777" w:rsidR="003A22C8" w:rsidRDefault="003A22C8" w:rsidP="003A22C8">
      <w:pPr>
        <w:pStyle w:val="NoSpacing"/>
        <w:jc w:val="both"/>
        <w:rPr>
          <w:rFonts w:ascii="Book Antiqua" w:hAnsi="Book Antiqua"/>
          <w:i/>
          <w:iCs/>
          <w:lang w:eastAsia="en-ID"/>
        </w:rPr>
      </w:pPr>
    </w:p>
    <w:p w14:paraId="0739DE0C" w14:textId="569EE20C"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The Asymmetry Between Technological and Human Investment</w:t>
      </w:r>
    </w:p>
    <w:p w14:paraId="52082FA6"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Findings on resources reveal an asymmetry with broad implications for digital government reform. Hardware, connectivity, and system access are adequate; personnel are not. SIKS-NG operators at sub-district level routinely discharge other administrative functions alongside registry work, meaning that updating speed depends on how many competing duties an operator carries </w:t>
      </w:r>
      <w:r w:rsidRPr="00355E5C">
        <w:rPr>
          <w:rFonts w:ascii="Book Antiqua" w:hAnsi="Book Antiqua"/>
          <w:lang w:eastAsia="en-ID"/>
        </w:rPr>
        <w:lastRenderedPageBreak/>
        <w:t xml:space="preserve">rather than on any deficiency in the system itself. Two sub-districts running identical software under identical procedures will therefore perform differently according to proposal volume relative to staffing. This corroborates </w:t>
      </w:r>
      <w:proofErr w:type="spellStart"/>
      <w:r w:rsidRPr="00355E5C">
        <w:rPr>
          <w:rFonts w:ascii="Book Antiqua" w:hAnsi="Book Antiqua"/>
          <w:lang w:eastAsia="en-ID"/>
        </w:rPr>
        <w:t>Manoppo</w:t>
      </w:r>
      <w:proofErr w:type="spellEnd"/>
      <w:r w:rsidRPr="00355E5C">
        <w:rPr>
          <w:rFonts w:ascii="Book Antiqua" w:hAnsi="Book Antiqua"/>
          <w:lang w:eastAsia="en-ID"/>
        </w:rPr>
        <w:t xml:space="preserve"> and </w:t>
      </w:r>
      <w:proofErr w:type="spellStart"/>
      <w:r w:rsidRPr="00355E5C">
        <w:rPr>
          <w:rFonts w:ascii="Book Antiqua" w:hAnsi="Book Antiqua"/>
          <w:lang w:eastAsia="en-ID"/>
        </w:rPr>
        <w:t>Laoh</w:t>
      </w:r>
      <w:proofErr w:type="spellEnd"/>
      <w:r w:rsidRPr="00355E5C">
        <w:rPr>
          <w:rFonts w:ascii="Book Antiqua" w:hAnsi="Book Antiqua"/>
          <w:lang w:eastAsia="en-ID"/>
        </w:rPr>
        <w:t xml:space="preserve"> (2022) and </w:t>
      </w: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et al. (2025) on the decisiveness of local institutional capacity, but adds a specific mechanism: </w:t>
      </w:r>
      <w:proofErr w:type="spellStart"/>
      <w:r w:rsidRPr="00355E5C">
        <w:rPr>
          <w:rFonts w:ascii="Book Antiqua" w:hAnsi="Book Antiqua"/>
          <w:lang w:eastAsia="en-ID"/>
        </w:rPr>
        <w:t>digitalisation</w:t>
      </w:r>
      <w:proofErr w:type="spellEnd"/>
      <w:r w:rsidRPr="00355E5C">
        <w:rPr>
          <w:rFonts w:ascii="Book Antiqua" w:hAnsi="Book Antiqua"/>
          <w:lang w:eastAsia="en-ID"/>
        </w:rPr>
        <w:t xml:space="preserve"> does not merely relocate existing work into a new interface, it creates additional work in the form of continuous updating, cross-checking, and proposal follow-up. Where reform budgets concentrate on infrastructure while treating staffing as fixed, the resulting bottleneck is predictable and structural rather than incidental. Poel et al. (2023) identified precisely this pattern in European government registries, showing that data quality deteriorates predictably when updating responsibilities are distributed across tiers without proportionate staffing investment.</w:t>
      </w:r>
    </w:p>
    <w:p w14:paraId="521BCF14" w14:textId="77777777" w:rsidR="003A22C8" w:rsidRDefault="003A22C8" w:rsidP="003A22C8">
      <w:pPr>
        <w:pStyle w:val="NoSpacing"/>
        <w:jc w:val="both"/>
        <w:rPr>
          <w:rFonts w:ascii="Book Antiqua" w:hAnsi="Book Antiqua"/>
          <w:i/>
          <w:iCs/>
          <w:lang w:eastAsia="en-ID"/>
        </w:rPr>
      </w:pPr>
    </w:p>
    <w:p w14:paraId="1F18E37A" w14:textId="0B5EE249"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Displaced Rather Than Diminished Discretion</w:t>
      </w:r>
    </w:p>
    <w:p w14:paraId="18DB6F94"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most theoretically consequential finding concerns where frontline discretion now resides.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heads exercise substantial judgement when assessing housing condition and household circumstances before submitting a proposal, reasoning that mirrors the </w:t>
      </w:r>
      <w:r w:rsidRPr="00355E5C">
        <w:rPr>
          <w:rFonts w:ascii="Book Antiqua" w:hAnsi="Book Antiqua"/>
          <w:i/>
          <w:iCs/>
          <w:lang w:eastAsia="en-ID"/>
        </w:rPr>
        <w:t>proxy means test</w:t>
      </w:r>
      <w:r w:rsidRPr="00355E5C">
        <w:rPr>
          <w:rFonts w:ascii="Book Antiqua" w:hAnsi="Book Antiqua"/>
          <w:lang w:eastAsia="en-ID"/>
        </w:rPr>
        <w:t xml:space="preserve"> logic underlying formal decile ranking, though the two operate on </w:t>
      </w:r>
      <w:proofErr w:type="spellStart"/>
      <w:r w:rsidRPr="00355E5C">
        <w:rPr>
          <w:rFonts w:ascii="Book Antiqua" w:hAnsi="Book Antiqua"/>
          <w:lang w:eastAsia="en-ID"/>
        </w:rPr>
        <w:t>unsynchronised</w:t>
      </w:r>
      <w:proofErr w:type="spellEnd"/>
      <w:r w:rsidRPr="00355E5C">
        <w:rPr>
          <w:rFonts w:ascii="Book Antiqua" w:hAnsi="Book Antiqua"/>
          <w:lang w:eastAsia="en-ID"/>
        </w:rPr>
        <w:t xml:space="preserve"> tracks. Beyond submission, however, their influence effectively ends, since ranking and final determination occur within a </w:t>
      </w:r>
      <w:proofErr w:type="spellStart"/>
      <w:r w:rsidRPr="00355E5C">
        <w:rPr>
          <w:rFonts w:ascii="Book Antiqua" w:hAnsi="Book Antiqua"/>
          <w:lang w:eastAsia="en-ID"/>
        </w:rPr>
        <w:t>centralised</w:t>
      </w:r>
      <w:proofErr w:type="spellEnd"/>
      <w:r w:rsidRPr="00355E5C">
        <w:rPr>
          <w:rFonts w:ascii="Book Antiqua" w:hAnsi="Book Antiqua"/>
          <w:lang w:eastAsia="en-ID"/>
        </w:rPr>
        <w:t xml:space="preserve"> national system. This pattern departs from </w:t>
      </w:r>
      <w:proofErr w:type="spellStart"/>
      <w:r w:rsidRPr="00355E5C">
        <w:rPr>
          <w:rFonts w:ascii="Book Antiqua" w:hAnsi="Book Antiqua"/>
          <w:lang w:eastAsia="en-ID"/>
        </w:rPr>
        <w:t>Ardiansyah</w:t>
      </w:r>
      <w:proofErr w:type="spellEnd"/>
      <w:r w:rsidRPr="00355E5C">
        <w:rPr>
          <w:rFonts w:ascii="Book Antiqua" w:hAnsi="Book Antiqua"/>
          <w:lang w:eastAsia="en-ID"/>
        </w:rPr>
        <w:t xml:space="preserve"> (2020) and </w:t>
      </w:r>
      <w:proofErr w:type="spellStart"/>
      <w:r w:rsidRPr="00355E5C">
        <w:rPr>
          <w:rFonts w:ascii="Book Antiqua" w:hAnsi="Book Antiqua"/>
          <w:lang w:eastAsia="en-ID"/>
        </w:rPr>
        <w:t>Hadna</w:t>
      </w:r>
      <w:proofErr w:type="spellEnd"/>
      <w:r w:rsidRPr="00355E5C">
        <w:rPr>
          <w:rFonts w:ascii="Book Antiqua" w:hAnsi="Book Antiqua"/>
          <w:lang w:eastAsia="en-ID"/>
        </w:rPr>
        <w:t xml:space="preserve"> et al. (2022), whose frontline actors shaped policy outcomes through to final beneficiary selection under food and land administration schemes.</w:t>
      </w:r>
    </w:p>
    <w:p w14:paraId="35543358"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appropriate inference is not that </w:t>
      </w:r>
      <w:proofErr w:type="spellStart"/>
      <w:r w:rsidRPr="00355E5C">
        <w:rPr>
          <w:rFonts w:ascii="Book Antiqua" w:hAnsi="Book Antiqua"/>
          <w:lang w:eastAsia="en-ID"/>
        </w:rPr>
        <w:t>centralisation</w:t>
      </w:r>
      <w:proofErr w:type="spellEnd"/>
      <w:r w:rsidRPr="00355E5C">
        <w:rPr>
          <w:rFonts w:ascii="Book Antiqua" w:hAnsi="Book Antiqua"/>
          <w:lang w:eastAsia="en-ID"/>
        </w:rPr>
        <w:t xml:space="preserve"> has eliminated discretion but that it has relocated it. Lipsky (2010) argued that policy is ultimately constituted by officials who exercise judgement under resource scarcity; the Bogor case shows that argument holding under digital conditions while its point of application migrates from the end of the process to its beginning. Henman (2022) offers a complementary explanation: automated systems shift visible discretion away from human actors, but the judgements embedded in initial data entry and proposal formulation become disproportionately consequential precisely because subsequent algorithmic processing offers no corrective opportunity. The implication is practical as well as theoretical. If discretion now concentrates at initial assessment, then the quality of eligibility judgements at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 level becomes disproportionately consequential, since errors introduced there propagate through a system offering local actors little subsequent opportunity to correct them. Dencik et al. (2022) warn that such front-loaded discretion, when exercised without </w:t>
      </w:r>
      <w:proofErr w:type="spellStart"/>
      <w:r w:rsidRPr="00355E5C">
        <w:rPr>
          <w:rFonts w:ascii="Book Antiqua" w:hAnsi="Book Antiqua"/>
          <w:lang w:eastAsia="en-ID"/>
        </w:rPr>
        <w:t>standardised</w:t>
      </w:r>
      <w:proofErr w:type="spellEnd"/>
      <w:r w:rsidRPr="00355E5C">
        <w:rPr>
          <w:rFonts w:ascii="Book Antiqua" w:hAnsi="Book Antiqua"/>
          <w:lang w:eastAsia="en-ID"/>
        </w:rPr>
        <w:t xml:space="preserve"> guidance, risks embedding the biases of individual assessors into the data architecture itself.</w:t>
      </w:r>
    </w:p>
    <w:p w14:paraId="3BD94C29" w14:textId="77777777" w:rsidR="003A22C8" w:rsidRDefault="003A22C8" w:rsidP="003A22C8">
      <w:pPr>
        <w:pStyle w:val="NoSpacing"/>
        <w:jc w:val="both"/>
        <w:rPr>
          <w:rFonts w:ascii="Book Antiqua" w:hAnsi="Book Antiqua"/>
          <w:i/>
          <w:iCs/>
          <w:lang w:eastAsia="en-ID"/>
        </w:rPr>
      </w:pPr>
    </w:p>
    <w:p w14:paraId="7A4281BE" w14:textId="0FE413D3"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 xml:space="preserve">Procedural </w:t>
      </w:r>
      <w:proofErr w:type="spellStart"/>
      <w:r w:rsidRPr="00355E5C">
        <w:rPr>
          <w:rFonts w:ascii="Book Antiqua" w:hAnsi="Book Antiqua"/>
          <w:i/>
          <w:iCs/>
          <w:lang w:eastAsia="en-ID"/>
        </w:rPr>
        <w:t>Standardisation</w:t>
      </w:r>
      <w:proofErr w:type="spellEnd"/>
      <w:r w:rsidRPr="00355E5C">
        <w:rPr>
          <w:rFonts w:ascii="Book Antiqua" w:hAnsi="Book Antiqua"/>
          <w:i/>
          <w:iCs/>
          <w:lang w:eastAsia="en-ID"/>
        </w:rPr>
        <w:t xml:space="preserve"> as an Accountability Question</w:t>
      </w:r>
    </w:p>
    <w:p w14:paraId="647860DD"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absence of binding written procedure for verification and validation constitutes the finding with the widest downstream effects. Practice currently </w:t>
      </w:r>
      <w:r w:rsidRPr="00355E5C">
        <w:rPr>
          <w:rFonts w:ascii="Book Antiqua" w:hAnsi="Book Antiqua"/>
          <w:lang w:eastAsia="en-ID"/>
        </w:rPr>
        <w:lastRenderedPageBreak/>
        <w:t xml:space="preserve">rests on habit, individual experience, and shared informal understanding, which produces consistent outcomes where staff are experienced and inconsistent outcomes where turnover occurs. </w:t>
      </w: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et al. (2025) reported comparable coordination weaknesses in Semarang, indicating a pattern recurring across jurisdictions rather than a local anomaly. Read through Bovens (2007), the deficiency is more than operational: without </w:t>
      </w:r>
      <w:proofErr w:type="spellStart"/>
      <w:r w:rsidRPr="00355E5C">
        <w:rPr>
          <w:rFonts w:ascii="Book Antiqua" w:hAnsi="Book Antiqua"/>
          <w:lang w:eastAsia="en-ID"/>
        </w:rPr>
        <w:t>standardised</w:t>
      </w:r>
      <w:proofErr w:type="spellEnd"/>
      <w:r w:rsidRPr="00355E5C">
        <w:rPr>
          <w:rFonts w:ascii="Book Antiqua" w:hAnsi="Book Antiqua"/>
          <w:lang w:eastAsia="en-ID"/>
        </w:rPr>
        <w:t xml:space="preserve"> procedure, it becomes impossible to identify at which point in the verification chain an error entered, or which actor bears responsibility for its correction. Accountability requires a traceable relationship between actor and forum, and undocumented practice severs that traceability. Janssen et al. (2022) reinforce this point by arguing that institutional trust in data governance depends on shared expectations regarding quality standards and correction mechanisms, expectations that cannot form without written procedural anchors.</w:t>
      </w:r>
    </w:p>
    <w:p w14:paraId="7928EE73"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The consequence reaches citizens directly, since residents experience the resulting variation as differing waiting times and differing clarity about their own status. Waiting periods unaccompanied by progress information erode confidence even when submissions are being processed correctly, which points toward a concrete remedy: </w:t>
      </w:r>
      <w:proofErr w:type="spellStart"/>
      <w:r w:rsidRPr="00355E5C">
        <w:rPr>
          <w:rFonts w:ascii="Book Antiqua" w:hAnsi="Book Antiqua"/>
          <w:lang w:eastAsia="en-ID"/>
        </w:rPr>
        <w:t>standardised</w:t>
      </w:r>
      <w:proofErr w:type="spellEnd"/>
      <w:r w:rsidRPr="00355E5C">
        <w:rPr>
          <w:rFonts w:ascii="Book Antiqua" w:hAnsi="Book Antiqua"/>
          <w:lang w:eastAsia="en-ID"/>
        </w:rPr>
        <w:t xml:space="preserve"> procedure paired with routine status notification.</w:t>
      </w:r>
    </w:p>
    <w:p w14:paraId="610BD503" w14:textId="77777777" w:rsidR="003A22C8" w:rsidRDefault="003A22C8" w:rsidP="003A22C8">
      <w:pPr>
        <w:pStyle w:val="NoSpacing"/>
        <w:jc w:val="both"/>
        <w:rPr>
          <w:rFonts w:ascii="Book Antiqua" w:hAnsi="Book Antiqua"/>
          <w:i/>
          <w:iCs/>
          <w:lang w:eastAsia="en-ID"/>
        </w:rPr>
      </w:pPr>
    </w:p>
    <w:p w14:paraId="3250AEC2" w14:textId="1A4B97D0"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Preserving Community Verification Within a Digital Architecture</w:t>
      </w:r>
    </w:p>
    <w:p w14:paraId="5C4D216A"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A final consideration concerns the balance between </w:t>
      </w:r>
      <w:proofErr w:type="spellStart"/>
      <w:r w:rsidRPr="00355E5C">
        <w:rPr>
          <w:rFonts w:ascii="Book Antiqua" w:hAnsi="Book Antiqua"/>
          <w:lang w:eastAsia="en-ID"/>
        </w:rPr>
        <w:t>centralised</w:t>
      </w:r>
      <w:proofErr w:type="spellEnd"/>
      <w:r w:rsidRPr="00355E5C">
        <w:rPr>
          <w:rFonts w:ascii="Book Antiqua" w:hAnsi="Book Antiqua"/>
          <w:lang w:eastAsia="en-ID"/>
        </w:rPr>
        <w:t xml:space="preserve"> computation and local scrutiny. Masiero and Das (2019) warned that </w:t>
      </w:r>
      <w:proofErr w:type="spellStart"/>
      <w:r w:rsidRPr="00355E5C">
        <w:rPr>
          <w:rFonts w:ascii="Book Antiqua" w:hAnsi="Book Antiqua"/>
          <w:lang w:eastAsia="en-ID"/>
        </w:rPr>
        <w:t>datafying</w:t>
      </w:r>
      <w:proofErr w:type="spellEnd"/>
      <w:r w:rsidRPr="00355E5C">
        <w:rPr>
          <w:rFonts w:ascii="Book Antiqua" w:hAnsi="Book Antiqua"/>
          <w:lang w:eastAsia="en-ID"/>
        </w:rPr>
        <w:t xml:space="preserve"> anti-poverty </w:t>
      </w:r>
      <w:proofErr w:type="spellStart"/>
      <w:r w:rsidRPr="00355E5C">
        <w:rPr>
          <w:rFonts w:ascii="Book Antiqua" w:hAnsi="Book Antiqua"/>
          <w:lang w:eastAsia="en-ID"/>
        </w:rPr>
        <w:t>programmes</w:t>
      </w:r>
      <w:proofErr w:type="spellEnd"/>
      <w:r w:rsidRPr="00355E5C">
        <w:rPr>
          <w:rFonts w:ascii="Book Antiqua" w:hAnsi="Book Antiqua"/>
          <w:lang w:eastAsia="en-ID"/>
        </w:rPr>
        <w:t xml:space="preserve"> may generate injustice when community verification is displaced by algorithmic determination, since citizens lose the social channels through which errors were formerly contested. Bogor's deliberative forums and </w:t>
      </w:r>
      <w:proofErr w:type="spellStart"/>
      <w:r w:rsidRPr="00355E5C">
        <w:rPr>
          <w:rFonts w:ascii="Book Antiqua" w:hAnsi="Book Antiqua"/>
          <w:lang w:eastAsia="en-ID"/>
        </w:rPr>
        <w:t>neighbourhood</w:t>
      </w:r>
      <w:proofErr w:type="spellEnd"/>
      <w:r w:rsidRPr="00355E5C">
        <w:rPr>
          <w:rFonts w:ascii="Book Antiqua" w:hAnsi="Book Antiqua"/>
          <w:lang w:eastAsia="en-ID"/>
        </w:rPr>
        <w:t xml:space="preserve">-level assessment represent exactly the verification layer that warning seeks to protect, and the findings suggest it remains functional. Kidd et al. (2024) arrive at a congruent conclusion from their cross-country assessment of </w:t>
      </w:r>
      <w:r w:rsidRPr="00355E5C">
        <w:rPr>
          <w:rFonts w:ascii="Book Antiqua" w:hAnsi="Book Antiqua"/>
          <w:i/>
          <w:iCs/>
          <w:lang w:eastAsia="en-ID"/>
        </w:rPr>
        <w:t>proxy means testing</w:t>
      </w:r>
      <w:r w:rsidRPr="00355E5C">
        <w:rPr>
          <w:rFonts w:ascii="Book Antiqua" w:hAnsi="Book Antiqua"/>
          <w:lang w:eastAsia="en-ID"/>
        </w:rPr>
        <w:t>, finding that even well-designed targeting instruments generate systematic exclusion when local verification capacity is weak. Sustaining community verification, however, requires that objection mechanisms be genuinely accessible and that decile reclassification be explained to those affected; otherwise participation in verification becomes ceremonial while determination remains opaque.</w:t>
      </w:r>
    </w:p>
    <w:p w14:paraId="42DDE95D" w14:textId="77777777" w:rsidR="003A22C8" w:rsidRDefault="003A22C8" w:rsidP="003A22C8">
      <w:pPr>
        <w:pStyle w:val="NoSpacing"/>
        <w:jc w:val="both"/>
        <w:rPr>
          <w:rFonts w:ascii="Book Antiqua" w:hAnsi="Book Antiqua"/>
          <w:i/>
          <w:iCs/>
          <w:lang w:eastAsia="en-ID"/>
        </w:rPr>
      </w:pPr>
    </w:p>
    <w:p w14:paraId="1607D0A7" w14:textId="1DF7B4C0" w:rsidR="003A22C8" w:rsidRPr="00355E5C" w:rsidRDefault="003A22C8" w:rsidP="003A22C8">
      <w:pPr>
        <w:pStyle w:val="NoSpacing"/>
        <w:jc w:val="both"/>
        <w:rPr>
          <w:rFonts w:ascii="Book Antiqua" w:hAnsi="Book Antiqua"/>
          <w:lang w:eastAsia="en-ID"/>
        </w:rPr>
      </w:pPr>
      <w:r w:rsidRPr="00355E5C">
        <w:rPr>
          <w:rFonts w:ascii="Book Antiqua" w:hAnsi="Book Antiqua"/>
          <w:i/>
          <w:iCs/>
          <w:lang w:eastAsia="en-ID"/>
        </w:rPr>
        <w:t>Inter-Dimensional Dynamics</w:t>
      </w:r>
    </w:p>
    <w:p w14:paraId="44DC54C9" w14:textId="77777777" w:rsidR="003A22C8" w:rsidRPr="00355E5C" w:rsidRDefault="003A22C8" w:rsidP="003A22C8">
      <w:pPr>
        <w:pStyle w:val="NoSpacing"/>
        <w:ind w:firstLine="720"/>
        <w:jc w:val="both"/>
        <w:rPr>
          <w:rFonts w:ascii="Book Antiqua" w:hAnsi="Book Antiqua"/>
          <w:lang w:eastAsia="en-ID"/>
        </w:rPr>
      </w:pPr>
      <w:r w:rsidRPr="00355E5C">
        <w:rPr>
          <w:rFonts w:ascii="Book Antiqua" w:hAnsi="Book Antiqua"/>
          <w:lang w:eastAsia="en-ID"/>
        </w:rPr>
        <w:t xml:space="preserve">Examining the four dimensions together reveals a consistent structure: supporting factors reside in facilities and individual commitment, whereas inhibiting factors reside in structural capacity and authority. Bureaucratic structure exerts the widest influence, constraining resources directly and disposition indirectly through limits on local authority, which suggests that procedural </w:t>
      </w:r>
      <w:proofErr w:type="spellStart"/>
      <w:r w:rsidRPr="00355E5C">
        <w:rPr>
          <w:rFonts w:ascii="Book Antiqua" w:hAnsi="Book Antiqua"/>
          <w:lang w:eastAsia="en-ID"/>
        </w:rPr>
        <w:t>standardisation</w:t>
      </w:r>
      <w:proofErr w:type="spellEnd"/>
      <w:r w:rsidRPr="00355E5C">
        <w:rPr>
          <w:rFonts w:ascii="Book Antiqua" w:hAnsi="Book Antiqua"/>
          <w:lang w:eastAsia="en-ID"/>
        </w:rPr>
        <w:t xml:space="preserve"> would yield multiplier effects across the remaining dimensions. The broader conclusion is that </w:t>
      </w:r>
      <w:proofErr w:type="spellStart"/>
      <w:r w:rsidRPr="00355E5C">
        <w:rPr>
          <w:rFonts w:ascii="Book Antiqua" w:hAnsi="Book Antiqua"/>
          <w:lang w:eastAsia="en-ID"/>
        </w:rPr>
        <w:t>digitalisation</w:t>
      </w:r>
      <w:proofErr w:type="spellEnd"/>
      <w:r w:rsidRPr="00355E5C">
        <w:rPr>
          <w:rFonts w:ascii="Book Antiqua" w:hAnsi="Book Antiqua"/>
          <w:lang w:eastAsia="en-ID"/>
        </w:rPr>
        <w:t xml:space="preserve"> alters the instruments of implementation without dissolving its classical challenges. A single registry changes what implementers work with; it does not change the fact that </w:t>
      </w:r>
      <w:r w:rsidRPr="00355E5C">
        <w:rPr>
          <w:rFonts w:ascii="Book Antiqua" w:hAnsi="Book Antiqua"/>
          <w:lang w:eastAsia="en-ID"/>
        </w:rPr>
        <w:lastRenderedPageBreak/>
        <w:t>communication, staffing, commitment, and procedure determine whether policy reaches those it was designed to serve.</w:t>
      </w:r>
    </w:p>
    <w:p w14:paraId="4C04DFBE" w14:textId="77777777" w:rsidR="00622DA4" w:rsidRDefault="00622DA4">
      <w:pPr>
        <w:spacing w:after="0" w:line="240" w:lineRule="auto"/>
        <w:jc w:val="both"/>
        <w:rPr>
          <w:rFonts w:ascii="Book Antiqua" w:eastAsia="Book Antiqua" w:hAnsi="Book Antiqua" w:cs="Book Antiqua"/>
          <w:b/>
          <w:sz w:val="24"/>
          <w:szCs w:val="24"/>
        </w:rPr>
      </w:pPr>
    </w:p>
    <w:p w14:paraId="7208539D" w14:textId="77777777" w:rsidR="00622DA4" w:rsidRDefault="0038031F">
      <w:pPr>
        <w:spacing w:after="0" w:line="240" w:lineRule="auto"/>
        <w:jc w:val="both"/>
        <w:rPr>
          <w:rFonts w:ascii="Book Antiqua" w:eastAsia="Book Antiqua" w:hAnsi="Book Antiqua" w:cs="Book Antiqua"/>
          <w:b/>
          <w:sz w:val="24"/>
          <w:szCs w:val="24"/>
        </w:rPr>
      </w:pPr>
      <w:r>
        <w:rPr>
          <w:rFonts w:ascii="Book Antiqua" w:eastAsia="Book Antiqua" w:hAnsi="Book Antiqua" w:cs="Book Antiqua"/>
          <w:b/>
          <w:sz w:val="24"/>
          <w:szCs w:val="24"/>
        </w:rPr>
        <w:t>CONCLUSIONS AND RECOMMENDATIONS</w:t>
      </w:r>
    </w:p>
    <w:p w14:paraId="46AF08BC" w14:textId="77777777" w:rsidR="00A85629" w:rsidRPr="00125A9B" w:rsidRDefault="00A85629" w:rsidP="00A85629">
      <w:pPr>
        <w:pStyle w:val="NoSpacing"/>
        <w:ind w:firstLine="720"/>
        <w:jc w:val="both"/>
        <w:rPr>
          <w:rFonts w:ascii="Book Antiqua" w:hAnsi="Book Antiqua"/>
          <w:lang w:eastAsia="en-ID"/>
        </w:rPr>
      </w:pPr>
      <w:r w:rsidRPr="00125A9B">
        <w:rPr>
          <w:rFonts w:ascii="Book Antiqua" w:hAnsi="Book Antiqua"/>
          <w:lang w:eastAsia="en-ID"/>
        </w:rPr>
        <w:t xml:space="preserve">Implementation of DTSEN in Bogor City is operational across all four Edwards III dimensions yet falls short of optimal performance, since integration at the level of data has not been matched by integration at the level of service: 168,781 residents within Deciles 1–5 appear in the registry without receiving any assistance. Supporting conditions cluster around available facilities and individual commitment, namely functioning </w:t>
      </w:r>
      <w:proofErr w:type="spellStart"/>
      <w:r w:rsidRPr="00125A9B">
        <w:rPr>
          <w:rFonts w:ascii="Book Antiqua" w:hAnsi="Book Antiqua"/>
          <w:lang w:eastAsia="en-ID"/>
        </w:rPr>
        <w:t>socialisation</w:t>
      </w:r>
      <w:proofErr w:type="spellEnd"/>
      <w:r w:rsidRPr="00125A9B">
        <w:rPr>
          <w:rFonts w:ascii="Book Antiqua" w:hAnsi="Book Antiqua"/>
          <w:lang w:eastAsia="en-ID"/>
        </w:rPr>
        <w:t xml:space="preserve"> channels, adequate hardware and system access, strong local dedication, and participatory validation forums; obstructing conditions cluster around structural capacity and authority, namely uneven public comprehension of the transition, overburdened system operators, </w:t>
      </w:r>
      <w:proofErr w:type="spellStart"/>
      <w:r w:rsidRPr="00125A9B">
        <w:rPr>
          <w:rFonts w:ascii="Book Antiqua" w:hAnsi="Book Antiqua"/>
          <w:lang w:eastAsia="en-ID"/>
        </w:rPr>
        <w:t>centralised</w:t>
      </w:r>
      <w:proofErr w:type="spellEnd"/>
      <w:r w:rsidRPr="00125A9B">
        <w:rPr>
          <w:rFonts w:ascii="Book Antiqua" w:hAnsi="Book Antiqua"/>
          <w:lang w:eastAsia="en-ID"/>
        </w:rPr>
        <w:t xml:space="preserve"> determination authority, and undeveloped written procedure. Because bureaucratic structure shapes resources directly and disposition indirectly, procedural reform carries multiplier potential across the remaining dimensions. Four implementation measures follow. First, the municipal government should issue binding written procedures covering proposal, verification, validation, updating, and status follow-up, so that practice no longer depends on individual experience and accountability becomes traceable at each tier. Second, operator capacity at sub-district level requires strengthening through additional personnel or reduced task overlap, particularly where proposal volumes are highest. Third, </w:t>
      </w:r>
      <w:proofErr w:type="spellStart"/>
      <w:r w:rsidRPr="00125A9B">
        <w:rPr>
          <w:rFonts w:ascii="Book Antiqua" w:hAnsi="Book Antiqua"/>
          <w:lang w:eastAsia="en-ID"/>
        </w:rPr>
        <w:t>socialisation</w:t>
      </w:r>
      <w:proofErr w:type="spellEnd"/>
      <w:r w:rsidRPr="00125A9B">
        <w:rPr>
          <w:rFonts w:ascii="Book Antiqua" w:hAnsi="Book Antiqua"/>
          <w:lang w:eastAsia="en-ID"/>
        </w:rPr>
        <w:t xml:space="preserve"> should be redesigned around plain-language explanation of decile logic and status change, targeting the comprehension deficit rather than merely repeating dissemination. Fourth, applicants should receive routine progress notification, since unexplained waiting erodes trust even when submissions are processed correctly.</w:t>
      </w:r>
    </w:p>
    <w:p w14:paraId="7A66B7AC" w14:textId="7C6F6621" w:rsidR="00622DA4" w:rsidRDefault="00622DA4">
      <w:pPr>
        <w:spacing w:after="0" w:line="240" w:lineRule="auto"/>
        <w:jc w:val="both"/>
        <w:rPr>
          <w:rFonts w:ascii="Book Antiqua" w:eastAsia="Book Antiqua" w:hAnsi="Book Antiqua" w:cs="Book Antiqua"/>
          <w:sz w:val="24"/>
          <w:szCs w:val="24"/>
        </w:rPr>
      </w:pPr>
    </w:p>
    <w:p w14:paraId="51A12AD5" w14:textId="77777777" w:rsidR="00622DA4" w:rsidRDefault="0038031F">
      <w:pPr>
        <w:spacing w:after="0" w:line="240" w:lineRule="auto"/>
        <w:jc w:val="both"/>
        <w:rPr>
          <w:rFonts w:ascii="Book Antiqua" w:eastAsia="Book Antiqua" w:hAnsi="Book Antiqua" w:cs="Book Antiqua"/>
          <w:b/>
          <w:sz w:val="24"/>
          <w:szCs w:val="24"/>
        </w:rPr>
      </w:pPr>
      <w:r>
        <w:rPr>
          <w:rFonts w:ascii="Book Antiqua" w:eastAsia="Book Antiqua" w:hAnsi="Book Antiqua" w:cs="Book Antiqua"/>
          <w:b/>
          <w:sz w:val="24"/>
          <w:szCs w:val="24"/>
        </w:rPr>
        <w:t>ADVANCED RESEARCH</w:t>
      </w:r>
    </w:p>
    <w:p w14:paraId="758D1DE9" w14:textId="58ADEF1B" w:rsidR="00A85629" w:rsidRPr="00125A9B" w:rsidRDefault="00DD2FA7" w:rsidP="00A85629">
      <w:pPr>
        <w:pStyle w:val="NoSpacing"/>
        <w:jc w:val="both"/>
        <w:rPr>
          <w:rFonts w:ascii="Book Antiqua" w:hAnsi="Book Antiqua"/>
          <w:lang w:eastAsia="en-ID"/>
        </w:rPr>
      </w:pPr>
      <w:r>
        <w:rPr>
          <w:rFonts w:ascii="Book Antiqua" w:hAnsi="Book Antiqua"/>
          <w:lang w:eastAsia="en-ID"/>
        </w:rPr>
        <w:tab/>
      </w:r>
      <w:r w:rsidR="00A85629" w:rsidRPr="00125A9B">
        <w:rPr>
          <w:rFonts w:ascii="Book Antiqua" w:hAnsi="Book Antiqua"/>
          <w:lang w:eastAsia="en-ID"/>
        </w:rPr>
        <w:t xml:space="preserve">Several limitations qualify these findings. The study covered two purposively selected sub-districts chosen for their coverage deficits, so the results describe implementation under the most demanding conditions rather than representing Bogor City as a statistical whole; transferability rests on analytical rather than statistical </w:t>
      </w:r>
      <w:proofErr w:type="spellStart"/>
      <w:r w:rsidR="00A85629" w:rsidRPr="00125A9B">
        <w:rPr>
          <w:rFonts w:ascii="Book Antiqua" w:hAnsi="Book Antiqua"/>
          <w:lang w:eastAsia="en-ID"/>
        </w:rPr>
        <w:t>generalisation</w:t>
      </w:r>
      <w:proofErr w:type="spellEnd"/>
      <w:r w:rsidR="00A85629" w:rsidRPr="00125A9B">
        <w:rPr>
          <w:rFonts w:ascii="Book Antiqua" w:hAnsi="Book Antiqua"/>
          <w:lang w:eastAsia="en-ID"/>
        </w:rPr>
        <w:t xml:space="preserve">. Fieldwork was conducted within a single three-month window during an ongoing policy transition, whereas the four implementation variables are treated statically by the Edwards III model and are likely to evolve as the registry matures beyond its initial years. Aggregate coverage figures were obtained from agency records and verified by the researcher, but the study did not independently audit inclusion or exclusion error at household level, so the reported gap indicates unmet coverage rather than measured targeting error. Reliance on interviews and observation also means that perceptions of officials and residents, rather than transactional system data, constitute the evidentiary base. Subsequent research would benefit from longitudinal designs tracking the same localities across several updating cycles to capture how implementation factors shift over time; from mixed-method work combining SIKS-NG transaction records with qualitative accounts to quantify </w:t>
      </w:r>
      <w:r w:rsidR="00A85629" w:rsidRPr="00125A9B">
        <w:rPr>
          <w:rFonts w:ascii="Book Antiqua" w:hAnsi="Book Antiqua"/>
          <w:lang w:eastAsia="en-ID"/>
        </w:rPr>
        <w:lastRenderedPageBreak/>
        <w:t xml:space="preserve">processing delays; from comparative studies across municipalities with differing administrative capacities; and from household-level verification examining whether uncovered residents in the lowest deciles genuinely satisfy </w:t>
      </w:r>
      <w:proofErr w:type="spellStart"/>
      <w:r w:rsidR="00A85629" w:rsidRPr="00125A9B">
        <w:rPr>
          <w:rFonts w:ascii="Book Antiqua" w:hAnsi="Book Antiqua"/>
          <w:lang w:eastAsia="en-ID"/>
        </w:rPr>
        <w:t>programme</w:t>
      </w:r>
      <w:proofErr w:type="spellEnd"/>
      <w:r w:rsidR="00A85629" w:rsidRPr="00125A9B">
        <w:rPr>
          <w:rFonts w:ascii="Book Antiqua" w:hAnsi="Book Antiqua"/>
          <w:lang w:eastAsia="en-ID"/>
        </w:rPr>
        <w:t xml:space="preserve"> criteria.</w:t>
      </w:r>
    </w:p>
    <w:p w14:paraId="0B61A727" w14:textId="77777777" w:rsidR="00622DA4" w:rsidRDefault="00622DA4">
      <w:pPr>
        <w:spacing w:after="0" w:line="240" w:lineRule="auto"/>
        <w:jc w:val="both"/>
        <w:rPr>
          <w:rFonts w:ascii="Book Antiqua" w:eastAsia="Book Antiqua" w:hAnsi="Book Antiqua" w:cs="Book Antiqua"/>
          <w:sz w:val="24"/>
          <w:szCs w:val="24"/>
        </w:rPr>
      </w:pPr>
    </w:p>
    <w:p w14:paraId="3C5649FA" w14:textId="77777777" w:rsidR="00622DA4" w:rsidRDefault="0038031F">
      <w:pPr>
        <w:spacing w:after="0" w:line="240" w:lineRule="auto"/>
        <w:jc w:val="both"/>
        <w:rPr>
          <w:rFonts w:ascii="Book Antiqua" w:eastAsia="Book Antiqua" w:hAnsi="Book Antiqua" w:cs="Book Antiqua"/>
          <w:b/>
          <w:color w:val="000000"/>
          <w:sz w:val="24"/>
          <w:szCs w:val="24"/>
        </w:rPr>
      </w:pPr>
      <w:r>
        <w:rPr>
          <w:rFonts w:ascii="Book Antiqua" w:eastAsia="Book Antiqua" w:hAnsi="Book Antiqua" w:cs="Book Antiqua"/>
          <w:b/>
          <w:color w:val="000000"/>
          <w:sz w:val="24"/>
          <w:szCs w:val="24"/>
        </w:rPr>
        <w:t>ACKNOWLEDGMENT</w:t>
      </w:r>
    </w:p>
    <w:p w14:paraId="5FEC5BC1" w14:textId="683E2D82" w:rsidR="00622DA4" w:rsidRDefault="00DD2FA7" w:rsidP="00DD2FA7">
      <w:pPr>
        <w:pStyle w:val="NoSpacing"/>
        <w:jc w:val="both"/>
        <w:rPr>
          <w:rFonts w:ascii="Book Antiqua" w:hAnsi="Book Antiqua"/>
          <w:lang w:eastAsia="en-ID"/>
        </w:rPr>
      </w:pPr>
      <w:r>
        <w:rPr>
          <w:rFonts w:ascii="Book Antiqua" w:hAnsi="Book Antiqua"/>
          <w:lang w:eastAsia="en-ID"/>
        </w:rPr>
        <w:tab/>
      </w:r>
      <w:r w:rsidR="00A85629" w:rsidRPr="00125A9B">
        <w:rPr>
          <w:rFonts w:ascii="Book Antiqua" w:hAnsi="Book Antiqua"/>
          <w:lang w:eastAsia="en-ID"/>
        </w:rPr>
        <w:t xml:space="preserve">The author extends sincere thanks to the Bogor City Social Affairs Agency, together with the social assistants, sub-district heads and secretaries, SIKS-NG operators, </w:t>
      </w:r>
      <w:proofErr w:type="spellStart"/>
      <w:r w:rsidR="00A85629" w:rsidRPr="00125A9B">
        <w:rPr>
          <w:rFonts w:ascii="Book Antiqua" w:hAnsi="Book Antiqua"/>
          <w:lang w:eastAsia="en-ID"/>
        </w:rPr>
        <w:t>neighbourhood</w:t>
      </w:r>
      <w:proofErr w:type="spellEnd"/>
      <w:r w:rsidR="00A85629" w:rsidRPr="00125A9B">
        <w:rPr>
          <w:rFonts w:ascii="Book Antiqua" w:hAnsi="Book Antiqua"/>
          <w:lang w:eastAsia="en-ID"/>
        </w:rPr>
        <w:t xml:space="preserve"> unit leaders, and residents of Bogor Selatan and Bogor Barat who gave their time and openness during interviews and field observation; without their willingness to share both institutional knowledge and personal experience, this research could not have been completed. Appreciation is also due to colleagues and academic supervisors whose critical readings, methodological suggestions, and comments on successive drafts substantially improved the clarity and </w:t>
      </w:r>
      <w:proofErr w:type="spellStart"/>
      <w:r w:rsidR="00A85629" w:rsidRPr="00125A9B">
        <w:rPr>
          <w:rFonts w:ascii="Book Antiqua" w:hAnsi="Book Antiqua"/>
          <w:lang w:eastAsia="en-ID"/>
        </w:rPr>
        <w:t>rigour</w:t>
      </w:r>
      <w:proofErr w:type="spellEnd"/>
      <w:r w:rsidR="00A85629" w:rsidRPr="00125A9B">
        <w:rPr>
          <w:rFonts w:ascii="Book Antiqua" w:hAnsi="Book Antiqua"/>
          <w:lang w:eastAsia="en-ID"/>
        </w:rPr>
        <w:t xml:space="preserve"> of the argument presented here, and to fellow researchers who offered constructive feedback during discussion of the preliminary findings. The author further acknowledges the institutional support that facilitated access to the research sites and the administrative assistance that enabled fieldwork to proceed smoothly. Any remaining errors of fact or interpretation are entirely the author's own responsibility.</w:t>
      </w:r>
    </w:p>
    <w:p w14:paraId="3464C4C5" w14:textId="77777777" w:rsidR="00DD2FA7" w:rsidRPr="00DD2FA7" w:rsidRDefault="00DD2FA7" w:rsidP="00DD2FA7">
      <w:pPr>
        <w:pStyle w:val="NoSpacing"/>
        <w:jc w:val="both"/>
        <w:rPr>
          <w:rFonts w:ascii="Book Antiqua" w:hAnsi="Book Antiqua"/>
          <w:lang w:eastAsia="en-ID"/>
        </w:rPr>
      </w:pPr>
    </w:p>
    <w:p w14:paraId="0988E571" w14:textId="77777777" w:rsidR="00622DA4" w:rsidRDefault="0038031F">
      <w:pPr>
        <w:spacing w:after="0" w:line="240" w:lineRule="auto"/>
        <w:rPr>
          <w:rFonts w:ascii="Times New Roman" w:eastAsia="Times New Roman" w:hAnsi="Times New Roman" w:cs="Times New Roman"/>
          <w:sz w:val="24"/>
          <w:szCs w:val="24"/>
        </w:rPr>
      </w:pPr>
      <w:r>
        <w:rPr>
          <w:rFonts w:ascii="Book Antiqua" w:eastAsia="Book Antiqua" w:hAnsi="Book Antiqua" w:cs="Book Antiqua"/>
          <w:b/>
          <w:color w:val="000000"/>
          <w:sz w:val="24"/>
          <w:szCs w:val="24"/>
        </w:rPr>
        <w:t>REFERENCES</w:t>
      </w:r>
    </w:p>
    <w:p w14:paraId="1A66B654"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Anhar, R., </w:t>
      </w:r>
      <w:proofErr w:type="spellStart"/>
      <w:r w:rsidRPr="00355E5C">
        <w:rPr>
          <w:rFonts w:ascii="Book Antiqua" w:hAnsi="Book Antiqua"/>
          <w:lang w:eastAsia="en-ID"/>
        </w:rPr>
        <w:t>Kariem</w:t>
      </w:r>
      <w:proofErr w:type="spellEnd"/>
      <w:r w:rsidRPr="00355E5C">
        <w:rPr>
          <w:rFonts w:ascii="Book Antiqua" w:hAnsi="Book Antiqua"/>
          <w:lang w:eastAsia="en-ID"/>
        </w:rPr>
        <w:t xml:space="preserve">, MQ, &amp; </w:t>
      </w:r>
      <w:proofErr w:type="spellStart"/>
      <w:r w:rsidRPr="00355E5C">
        <w:rPr>
          <w:rFonts w:ascii="Book Antiqua" w:hAnsi="Book Antiqua"/>
          <w:lang w:eastAsia="en-ID"/>
        </w:rPr>
        <w:t>Febriyanti</w:t>
      </w:r>
      <w:proofErr w:type="spellEnd"/>
      <w:r w:rsidRPr="00355E5C">
        <w:rPr>
          <w:rFonts w:ascii="Book Antiqua" w:hAnsi="Book Antiqua"/>
          <w:lang w:eastAsia="en-ID"/>
        </w:rPr>
        <w:t xml:space="preserve">, D. (2023). Implementation of cash social assistance policy during the Covid-19 pandemic at the Palembang City Social Service. </w:t>
      </w:r>
      <w:r w:rsidRPr="00355E5C">
        <w:rPr>
          <w:rFonts w:ascii="Book Antiqua" w:hAnsi="Book Antiqua"/>
          <w:i/>
          <w:iCs/>
          <w:lang w:eastAsia="en-ID"/>
        </w:rPr>
        <w:t xml:space="preserve">JISIP </w:t>
      </w:r>
      <w:proofErr w:type="gramStart"/>
      <w:r w:rsidRPr="00355E5C">
        <w:rPr>
          <w:rFonts w:ascii="Book Antiqua" w:hAnsi="Book Antiqua"/>
          <w:i/>
          <w:iCs/>
          <w:lang w:eastAsia="en-ID"/>
        </w:rPr>
        <w:t xml:space="preserve">UNJA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7 </w:t>
      </w:r>
      <w:r w:rsidRPr="00355E5C">
        <w:rPr>
          <w:rFonts w:ascii="Book Antiqua" w:hAnsi="Book Antiqua"/>
          <w:lang w:eastAsia="en-ID"/>
        </w:rPr>
        <w:t>(1), 38–48. https://doi.org/10.22437/jisipunja.v7i1.24246</w:t>
      </w:r>
    </w:p>
    <w:p w14:paraId="716D7879"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Ardiansyah</w:t>
      </w:r>
      <w:proofErr w:type="spellEnd"/>
      <w:r w:rsidRPr="00355E5C">
        <w:rPr>
          <w:rFonts w:ascii="Book Antiqua" w:hAnsi="Book Antiqua"/>
          <w:lang w:eastAsia="en-ID"/>
        </w:rPr>
        <w:t xml:space="preserve">, F. (2020). Discretionary analysis on the role of street-level bureaucracy in food policy implementation for the poor in Bone District. </w:t>
      </w:r>
      <w:r w:rsidRPr="00355E5C">
        <w:rPr>
          <w:rFonts w:ascii="Book Antiqua" w:hAnsi="Book Antiqua"/>
          <w:i/>
          <w:iCs/>
          <w:lang w:eastAsia="en-ID"/>
        </w:rPr>
        <w:t xml:space="preserve">Scientific Journal of Public </w:t>
      </w:r>
      <w:proofErr w:type="gramStart"/>
      <w:r w:rsidRPr="00355E5C">
        <w:rPr>
          <w:rFonts w:ascii="Book Antiqua" w:hAnsi="Book Antiqua"/>
          <w:i/>
          <w:iCs/>
          <w:lang w:eastAsia="en-ID"/>
        </w:rPr>
        <w:t xml:space="preserve">Administration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6 </w:t>
      </w:r>
      <w:r w:rsidRPr="00355E5C">
        <w:rPr>
          <w:rFonts w:ascii="Book Antiqua" w:hAnsi="Book Antiqua"/>
          <w:lang w:eastAsia="en-ID"/>
        </w:rPr>
        <w:t>(3).</w:t>
      </w:r>
    </w:p>
    <w:p w14:paraId="0FB3B07F"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Bogor City Central Statistics Agency. (2024). </w:t>
      </w:r>
      <w:r w:rsidRPr="00355E5C">
        <w:rPr>
          <w:rFonts w:ascii="Book Antiqua" w:hAnsi="Book Antiqua"/>
          <w:i/>
          <w:iCs/>
          <w:lang w:eastAsia="en-ID"/>
        </w:rPr>
        <w:t xml:space="preserve">Bogor City in Figures 2024. </w:t>
      </w:r>
      <w:r w:rsidRPr="00355E5C">
        <w:rPr>
          <w:rFonts w:ascii="Book Antiqua" w:hAnsi="Book Antiqua"/>
          <w:lang w:eastAsia="en-ID"/>
        </w:rPr>
        <w:t>BPS Bogor City. https://bogorkota.bps.go.id</w:t>
      </w:r>
    </w:p>
    <w:p w14:paraId="7B86B965"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Bovens, M. (2007). </w:t>
      </w:r>
      <w:proofErr w:type="spellStart"/>
      <w:r w:rsidRPr="00355E5C">
        <w:rPr>
          <w:rFonts w:ascii="Book Antiqua" w:hAnsi="Book Antiqua"/>
          <w:lang w:eastAsia="en-ID"/>
        </w:rPr>
        <w:t>Analysing</w:t>
      </w:r>
      <w:proofErr w:type="spellEnd"/>
      <w:r w:rsidRPr="00355E5C">
        <w:rPr>
          <w:rFonts w:ascii="Book Antiqua" w:hAnsi="Book Antiqua"/>
          <w:lang w:eastAsia="en-ID"/>
        </w:rPr>
        <w:t xml:space="preserve"> and assessing accountability: A conceptual framework. </w:t>
      </w:r>
      <w:r w:rsidRPr="00355E5C">
        <w:rPr>
          <w:rFonts w:ascii="Book Antiqua" w:hAnsi="Book Antiqua"/>
          <w:i/>
          <w:iCs/>
          <w:lang w:eastAsia="en-ID"/>
        </w:rPr>
        <w:t>European Law Journal</w:t>
      </w:r>
      <w:r w:rsidRPr="00355E5C">
        <w:rPr>
          <w:rFonts w:ascii="Book Antiqua" w:hAnsi="Book Antiqua"/>
          <w:lang w:eastAsia="en-ID"/>
        </w:rPr>
        <w:t xml:space="preserve">, </w:t>
      </w:r>
      <w:r w:rsidRPr="00355E5C">
        <w:rPr>
          <w:rFonts w:ascii="Book Antiqua" w:hAnsi="Book Antiqua"/>
          <w:i/>
          <w:iCs/>
          <w:lang w:eastAsia="en-ID"/>
        </w:rPr>
        <w:t>13</w:t>
      </w:r>
      <w:r w:rsidRPr="00355E5C">
        <w:rPr>
          <w:rFonts w:ascii="Book Antiqua" w:hAnsi="Book Antiqua"/>
          <w:lang w:eastAsia="en-ID"/>
        </w:rPr>
        <w:t>(4), 447–468. https://doi.org/10.1111/j.1468-0386.2007.00378.x</w:t>
      </w:r>
    </w:p>
    <w:p w14:paraId="7A835FE8"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Creswell, J. W., &amp; Poth, C. N. (2023). </w:t>
      </w:r>
      <w:r w:rsidRPr="00355E5C">
        <w:rPr>
          <w:rFonts w:ascii="Book Antiqua" w:hAnsi="Book Antiqua"/>
          <w:i/>
          <w:iCs/>
          <w:lang w:eastAsia="en-ID"/>
        </w:rPr>
        <w:t>Qualitative inquiry and research design: Choosing among five approaches</w:t>
      </w:r>
      <w:r w:rsidRPr="00355E5C">
        <w:rPr>
          <w:rFonts w:ascii="Book Antiqua" w:hAnsi="Book Antiqua"/>
          <w:lang w:eastAsia="en-ID"/>
        </w:rPr>
        <w:t xml:space="preserve"> (5th ed.). SAGE Publications.</w:t>
      </w:r>
    </w:p>
    <w:p w14:paraId="1D03502D"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Dencik, L., Redden, J., Hintz, A., &amp; Warne, H. (2022). The </w:t>
      </w:r>
      <w:proofErr w:type="spellStart"/>
      <w:r w:rsidRPr="00355E5C">
        <w:rPr>
          <w:rFonts w:ascii="Book Antiqua" w:hAnsi="Book Antiqua"/>
          <w:lang w:eastAsia="en-ID"/>
        </w:rPr>
        <w:t>datafied</w:t>
      </w:r>
      <w:proofErr w:type="spellEnd"/>
      <w:r w:rsidRPr="00355E5C">
        <w:rPr>
          <w:rFonts w:ascii="Book Antiqua" w:hAnsi="Book Antiqua"/>
          <w:lang w:eastAsia="en-ID"/>
        </w:rPr>
        <w:t xml:space="preserve"> welfare state: A framework for </w:t>
      </w:r>
      <w:proofErr w:type="spellStart"/>
      <w:r w:rsidRPr="00355E5C">
        <w:rPr>
          <w:rFonts w:ascii="Book Antiqua" w:hAnsi="Book Antiqua"/>
          <w:lang w:eastAsia="en-ID"/>
        </w:rPr>
        <w:t>analysing</w:t>
      </w:r>
      <w:proofErr w:type="spellEnd"/>
      <w:r w:rsidRPr="00355E5C">
        <w:rPr>
          <w:rFonts w:ascii="Book Antiqua" w:hAnsi="Book Antiqua"/>
          <w:lang w:eastAsia="en-ID"/>
        </w:rPr>
        <w:t xml:space="preserve"> predictive data infrastructures in public services. </w:t>
      </w:r>
      <w:r w:rsidRPr="00355E5C">
        <w:rPr>
          <w:rFonts w:ascii="Book Antiqua" w:hAnsi="Book Antiqua"/>
          <w:i/>
          <w:iCs/>
          <w:lang w:eastAsia="en-ID"/>
        </w:rPr>
        <w:t>New Media &amp; Society</w:t>
      </w:r>
      <w:r w:rsidRPr="00355E5C">
        <w:rPr>
          <w:rFonts w:ascii="Book Antiqua" w:hAnsi="Book Antiqua"/>
          <w:lang w:eastAsia="en-ID"/>
        </w:rPr>
        <w:t xml:space="preserve">, </w:t>
      </w:r>
      <w:r w:rsidRPr="00355E5C">
        <w:rPr>
          <w:rFonts w:ascii="Book Antiqua" w:hAnsi="Book Antiqua"/>
          <w:i/>
          <w:iCs/>
          <w:lang w:eastAsia="en-ID"/>
        </w:rPr>
        <w:t>24</w:t>
      </w:r>
      <w:r w:rsidRPr="00355E5C">
        <w:rPr>
          <w:rFonts w:ascii="Book Antiqua" w:hAnsi="Book Antiqua"/>
          <w:lang w:eastAsia="en-ID"/>
        </w:rPr>
        <w:t>(6), 1331–1350. https://doi.org/10.1177/14614448221079031</w:t>
      </w:r>
    </w:p>
    <w:p w14:paraId="2327A2CB"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Edwards, G. C., III. (1980). </w:t>
      </w:r>
      <w:r w:rsidRPr="00355E5C">
        <w:rPr>
          <w:rFonts w:ascii="Book Antiqua" w:hAnsi="Book Antiqua"/>
          <w:i/>
          <w:iCs/>
          <w:lang w:eastAsia="en-ID"/>
        </w:rPr>
        <w:t>Implementing public policy</w:t>
      </w:r>
      <w:r w:rsidRPr="00355E5C">
        <w:rPr>
          <w:rFonts w:ascii="Book Antiqua" w:hAnsi="Book Antiqua"/>
          <w:lang w:eastAsia="en-ID"/>
        </w:rPr>
        <w:t>. Congressional Quarterly Press.</w:t>
      </w:r>
    </w:p>
    <w:p w14:paraId="429D146C"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Hadna</w:t>
      </w:r>
      <w:proofErr w:type="spellEnd"/>
      <w:r w:rsidRPr="00355E5C">
        <w:rPr>
          <w:rFonts w:ascii="Book Antiqua" w:hAnsi="Book Antiqua"/>
          <w:lang w:eastAsia="en-ID"/>
        </w:rPr>
        <w:t xml:space="preserve">, A. H., </w:t>
      </w:r>
      <w:proofErr w:type="spellStart"/>
      <w:r w:rsidRPr="00355E5C">
        <w:rPr>
          <w:rFonts w:ascii="Book Antiqua" w:hAnsi="Book Antiqua"/>
          <w:lang w:eastAsia="en-ID"/>
        </w:rPr>
        <w:t>Listyaningsih</w:t>
      </w:r>
      <w:proofErr w:type="spellEnd"/>
      <w:r w:rsidRPr="00355E5C">
        <w:rPr>
          <w:rFonts w:ascii="Book Antiqua" w:hAnsi="Book Antiqua"/>
          <w:lang w:eastAsia="en-ID"/>
        </w:rPr>
        <w:t xml:space="preserve">, U., &amp; </w:t>
      </w:r>
      <w:proofErr w:type="spellStart"/>
      <w:r w:rsidRPr="00355E5C">
        <w:rPr>
          <w:rFonts w:ascii="Book Antiqua" w:hAnsi="Book Antiqua"/>
          <w:lang w:eastAsia="en-ID"/>
        </w:rPr>
        <w:t>Ihwanudin</w:t>
      </w:r>
      <w:proofErr w:type="spellEnd"/>
      <w:r w:rsidRPr="00355E5C">
        <w:rPr>
          <w:rFonts w:ascii="Book Antiqua" w:hAnsi="Book Antiqua"/>
          <w:lang w:eastAsia="en-ID"/>
        </w:rPr>
        <w:t xml:space="preserve">, I. (2022). To what extent have street-level bureaucrats used their discretionary powers during the COVID-19 pandemic in Indonesia? </w:t>
      </w:r>
      <w:r w:rsidRPr="00355E5C">
        <w:rPr>
          <w:rFonts w:ascii="Book Antiqua" w:hAnsi="Book Antiqua"/>
          <w:i/>
          <w:iCs/>
          <w:lang w:eastAsia="en-ID"/>
        </w:rPr>
        <w:t>International Journal of Public Sector Management</w:t>
      </w:r>
      <w:r w:rsidRPr="00355E5C">
        <w:rPr>
          <w:rFonts w:ascii="Book Antiqua" w:hAnsi="Book Antiqua"/>
          <w:lang w:eastAsia="en-ID"/>
        </w:rPr>
        <w:t xml:space="preserve">, </w:t>
      </w:r>
      <w:r w:rsidRPr="00355E5C">
        <w:rPr>
          <w:rFonts w:ascii="Book Antiqua" w:hAnsi="Book Antiqua"/>
          <w:i/>
          <w:iCs/>
          <w:lang w:eastAsia="en-ID"/>
        </w:rPr>
        <w:t>35</w:t>
      </w:r>
      <w:r w:rsidRPr="00355E5C">
        <w:rPr>
          <w:rFonts w:ascii="Book Antiqua" w:hAnsi="Book Antiqua"/>
          <w:lang w:eastAsia="en-ID"/>
        </w:rPr>
        <w:t>(7), 806–820. https://doi.org/10.1108/IJPSM-12-2021-0272</w:t>
      </w:r>
    </w:p>
    <w:p w14:paraId="1F254270"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lastRenderedPageBreak/>
        <w:t xml:space="preserve">Haikal, M., &amp; </w:t>
      </w:r>
      <w:proofErr w:type="spellStart"/>
      <w:r w:rsidRPr="00355E5C">
        <w:rPr>
          <w:rFonts w:ascii="Book Antiqua" w:hAnsi="Book Antiqua"/>
          <w:lang w:eastAsia="en-ID"/>
        </w:rPr>
        <w:t>Fitriati</w:t>
      </w:r>
      <w:proofErr w:type="spellEnd"/>
      <w:r w:rsidRPr="00355E5C">
        <w:rPr>
          <w:rFonts w:ascii="Book Antiqua" w:hAnsi="Book Antiqua"/>
          <w:lang w:eastAsia="en-ID"/>
        </w:rPr>
        <w:t xml:space="preserve">, R. (2023). The policy implementation of DKI Jakarta Provincial Government social cash assistance during COVID-19 pandemic. </w:t>
      </w:r>
      <w:r w:rsidRPr="00355E5C">
        <w:rPr>
          <w:rFonts w:ascii="Book Antiqua" w:hAnsi="Book Antiqua"/>
          <w:i/>
          <w:iCs/>
          <w:lang w:eastAsia="en-ID"/>
        </w:rPr>
        <w:t xml:space="preserve">Monas: </w:t>
      </w:r>
      <w:proofErr w:type="spellStart"/>
      <w:r w:rsidRPr="00355E5C">
        <w:rPr>
          <w:rFonts w:ascii="Book Antiqua" w:hAnsi="Book Antiqua"/>
          <w:i/>
          <w:iCs/>
          <w:lang w:eastAsia="en-ID"/>
        </w:rPr>
        <w:t>Jurnal</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Inovasi</w:t>
      </w:r>
      <w:proofErr w:type="spellEnd"/>
      <w:r w:rsidRPr="00355E5C">
        <w:rPr>
          <w:rFonts w:ascii="Book Antiqua" w:hAnsi="Book Antiqua"/>
          <w:i/>
          <w:iCs/>
          <w:lang w:eastAsia="en-ID"/>
        </w:rPr>
        <w:t xml:space="preserve"> </w:t>
      </w:r>
      <w:proofErr w:type="spellStart"/>
      <w:r w:rsidRPr="00355E5C">
        <w:rPr>
          <w:rFonts w:ascii="Book Antiqua" w:hAnsi="Book Antiqua"/>
          <w:i/>
          <w:iCs/>
          <w:lang w:eastAsia="en-ID"/>
        </w:rPr>
        <w:t>Aparatur</w:t>
      </w:r>
      <w:proofErr w:type="spellEnd"/>
      <w:r w:rsidRPr="00355E5C">
        <w:rPr>
          <w:rFonts w:ascii="Book Antiqua" w:hAnsi="Book Antiqua"/>
          <w:lang w:eastAsia="en-ID"/>
        </w:rPr>
        <w:t xml:space="preserve">, </w:t>
      </w:r>
      <w:r w:rsidRPr="00355E5C">
        <w:rPr>
          <w:rFonts w:ascii="Book Antiqua" w:hAnsi="Book Antiqua"/>
          <w:i/>
          <w:iCs/>
          <w:lang w:eastAsia="en-ID"/>
        </w:rPr>
        <w:t>5</w:t>
      </w:r>
      <w:r w:rsidRPr="00355E5C">
        <w:rPr>
          <w:rFonts w:ascii="Book Antiqua" w:hAnsi="Book Antiqua"/>
          <w:lang w:eastAsia="en-ID"/>
        </w:rPr>
        <w:t>(1), 16–29. https://doi.org/10.54849/monas.v5i1.139</w:t>
      </w:r>
    </w:p>
    <w:p w14:paraId="737275F0"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Henman, P. (2022). Digital social policy: Past, present, future. </w:t>
      </w:r>
      <w:r w:rsidRPr="00355E5C">
        <w:rPr>
          <w:rFonts w:ascii="Book Antiqua" w:hAnsi="Book Antiqua"/>
          <w:i/>
          <w:iCs/>
          <w:lang w:eastAsia="en-ID"/>
        </w:rPr>
        <w:t>Journal of Social Policy</w:t>
      </w:r>
      <w:r w:rsidRPr="00355E5C">
        <w:rPr>
          <w:rFonts w:ascii="Book Antiqua" w:hAnsi="Book Antiqua"/>
          <w:lang w:eastAsia="en-ID"/>
        </w:rPr>
        <w:t xml:space="preserve">, </w:t>
      </w:r>
      <w:r w:rsidRPr="00355E5C">
        <w:rPr>
          <w:rFonts w:ascii="Book Antiqua" w:hAnsi="Book Antiqua"/>
          <w:i/>
          <w:iCs/>
          <w:lang w:eastAsia="en-ID"/>
        </w:rPr>
        <w:t>51</w:t>
      </w:r>
      <w:r w:rsidRPr="00355E5C">
        <w:rPr>
          <w:rFonts w:ascii="Book Antiqua" w:hAnsi="Book Antiqua"/>
          <w:lang w:eastAsia="en-ID"/>
        </w:rPr>
        <w:t>(3), 535–550. https://doi.org/10.1017/S0047279422000137</w:t>
      </w:r>
    </w:p>
    <w:p w14:paraId="09235B52"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Presidential Instruction of the Republic of Indonesia Number 4 of 2025 concerning the National Single Social and Economic Data. (2025). https://peraturan.bpk.go.id/Details/314649/inpres-no-4-tahun-2025</w:t>
      </w:r>
    </w:p>
    <w:p w14:paraId="2C731841"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Janssen, M., Brous, P., Estevez, E., Barbosa, L.S., &amp; Janowski, T. (2022). Data governance: Organizing data for trustworthy artificial intelligence. </w:t>
      </w:r>
      <w:r w:rsidRPr="00355E5C">
        <w:rPr>
          <w:rFonts w:ascii="Book Antiqua" w:hAnsi="Book Antiqua"/>
          <w:i/>
          <w:iCs/>
          <w:lang w:eastAsia="en-ID"/>
        </w:rPr>
        <w:t xml:space="preserve">Government Information </w:t>
      </w:r>
      <w:proofErr w:type="gramStart"/>
      <w:r w:rsidRPr="00355E5C">
        <w:rPr>
          <w:rFonts w:ascii="Book Antiqua" w:hAnsi="Book Antiqua"/>
          <w:i/>
          <w:iCs/>
          <w:lang w:eastAsia="en-ID"/>
        </w:rPr>
        <w:t xml:space="preserve">Quarterly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39 </w:t>
      </w:r>
      <w:r w:rsidRPr="00355E5C">
        <w:rPr>
          <w:rFonts w:ascii="Book Antiqua" w:hAnsi="Book Antiqua"/>
          <w:lang w:eastAsia="en-ID"/>
        </w:rPr>
        <w:t>(2), 101625. https://doi.org/10.1016/j.giq.2021.101625</w:t>
      </w:r>
    </w:p>
    <w:p w14:paraId="567649AF"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Ministry of Social Affairs of the Republic of Indonesia. (2025). The Presidential Instruction on the National Disaster Mitigation Program (DTSEN) has been signed by the President. The Ministry of Social Affairs will conduct random sampling and data analysis. https://kemensos.go.id</w:t>
      </w:r>
    </w:p>
    <w:p w14:paraId="12F590C6"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Decree of the Minister of Social Affairs of the Republic of Indonesia Number 262/HUK/2022 concerning the Criteria for the Poor. (2022).</w:t>
      </w:r>
    </w:p>
    <w:p w14:paraId="71BFB95E"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Decree of the Minister of Social Affairs of the Republic of Indonesia Number 79/HUK/2025 concerning Determination of Family Welfare Rankings for the Distribution of Social Assistance. (2025).</w:t>
      </w:r>
    </w:p>
    <w:p w14:paraId="63374940"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Kidd, S., </w:t>
      </w:r>
      <w:proofErr w:type="spellStart"/>
      <w:r w:rsidRPr="00355E5C">
        <w:rPr>
          <w:rFonts w:ascii="Book Antiqua" w:hAnsi="Book Antiqua"/>
          <w:lang w:eastAsia="en-ID"/>
        </w:rPr>
        <w:t>Athias</w:t>
      </w:r>
      <w:proofErr w:type="spellEnd"/>
      <w:r w:rsidRPr="00355E5C">
        <w:rPr>
          <w:rFonts w:ascii="Book Antiqua" w:hAnsi="Book Antiqua"/>
          <w:lang w:eastAsia="en-ID"/>
        </w:rPr>
        <w:t xml:space="preserve">, D., &amp; Tran, A. (2024). Assessing the accuracy of proxy means testing in low- and middle-income countries. </w:t>
      </w:r>
      <w:r w:rsidRPr="00355E5C">
        <w:rPr>
          <w:rFonts w:ascii="Book Antiqua" w:hAnsi="Book Antiqua"/>
          <w:i/>
          <w:iCs/>
          <w:lang w:eastAsia="en-ID"/>
        </w:rPr>
        <w:t xml:space="preserve">World </w:t>
      </w:r>
      <w:proofErr w:type="gramStart"/>
      <w:r w:rsidRPr="00355E5C">
        <w:rPr>
          <w:rFonts w:ascii="Book Antiqua" w:hAnsi="Book Antiqua"/>
          <w:i/>
          <w:iCs/>
          <w:lang w:eastAsia="en-ID"/>
        </w:rPr>
        <w:t xml:space="preserve">Development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173 </w:t>
      </w:r>
      <w:r w:rsidRPr="00355E5C">
        <w:rPr>
          <w:rFonts w:ascii="Book Antiqua" w:hAnsi="Book Antiqua"/>
          <w:lang w:eastAsia="en-ID"/>
        </w:rPr>
        <w:t>, 106422. https://doi.org/10.1016/j.worlddev.2023.106422</w:t>
      </w:r>
    </w:p>
    <w:p w14:paraId="5B021110"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Kuhn, R., &amp; Stillman, S. (2023). Registry transitions and social protection gaps: Evidence from post-Soviet welfare reform. </w:t>
      </w:r>
      <w:r w:rsidRPr="00355E5C">
        <w:rPr>
          <w:rFonts w:ascii="Book Antiqua" w:hAnsi="Book Antiqua"/>
          <w:i/>
          <w:iCs/>
          <w:lang w:eastAsia="en-ID"/>
        </w:rPr>
        <w:t xml:space="preserve">Journal of European Social </w:t>
      </w:r>
      <w:proofErr w:type="gramStart"/>
      <w:r w:rsidRPr="00355E5C">
        <w:rPr>
          <w:rFonts w:ascii="Book Antiqua" w:hAnsi="Book Antiqua"/>
          <w:i/>
          <w:iCs/>
          <w:lang w:eastAsia="en-ID"/>
        </w:rPr>
        <w:t xml:space="preserve">Policy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33 </w:t>
      </w:r>
      <w:r w:rsidRPr="00355E5C">
        <w:rPr>
          <w:rFonts w:ascii="Book Antiqua" w:hAnsi="Book Antiqua"/>
          <w:lang w:eastAsia="en-ID"/>
        </w:rPr>
        <w:t>(2), 178–194. https://doi.org/10.1177/09589287221143265</w:t>
      </w:r>
    </w:p>
    <w:p w14:paraId="79557378"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Lipsky, M. (2010). </w:t>
      </w:r>
      <w:r w:rsidRPr="00355E5C">
        <w:rPr>
          <w:rFonts w:ascii="Book Antiqua" w:hAnsi="Book Antiqua"/>
          <w:i/>
          <w:iCs/>
          <w:lang w:eastAsia="en-ID"/>
        </w:rPr>
        <w:t xml:space="preserve">Street-level bureaucracy: Dilemmas of the individual in public services </w:t>
      </w:r>
      <w:r w:rsidRPr="00355E5C">
        <w:rPr>
          <w:rFonts w:ascii="Book Antiqua" w:hAnsi="Book Antiqua"/>
          <w:lang w:eastAsia="en-ID"/>
        </w:rPr>
        <w:t>(30th anniversary ed.). Russell Sage Foundation.</w:t>
      </w:r>
    </w:p>
    <w:p w14:paraId="5E3BA892"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Manoppo</w:t>
      </w:r>
      <w:proofErr w:type="spellEnd"/>
      <w:r w:rsidRPr="00355E5C">
        <w:rPr>
          <w:rFonts w:ascii="Book Antiqua" w:hAnsi="Book Antiqua"/>
          <w:lang w:eastAsia="en-ID"/>
        </w:rPr>
        <w:t xml:space="preserve">, EV, &amp; </w:t>
      </w:r>
      <w:proofErr w:type="spellStart"/>
      <w:r w:rsidRPr="00355E5C">
        <w:rPr>
          <w:rFonts w:ascii="Book Antiqua" w:hAnsi="Book Antiqua"/>
          <w:lang w:eastAsia="en-ID"/>
        </w:rPr>
        <w:t>Laoh</w:t>
      </w:r>
      <w:proofErr w:type="spellEnd"/>
      <w:r w:rsidRPr="00355E5C">
        <w:rPr>
          <w:rFonts w:ascii="Book Antiqua" w:hAnsi="Book Antiqua"/>
          <w:lang w:eastAsia="en-ID"/>
        </w:rPr>
        <w:t xml:space="preserve">, NA (2022). Strategy for utilizing Integrated Social Welfare Data (DTKS) in the distribution of social assistance for RS-RTLH by the North Sulawesi Provincial Social Service. </w:t>
      </w:r>
      <w:proofErr w:type="spellStart"/>
      <w:r w:rsidRPr="00355E5C">
        <w:rPr>
          <w:rFonts w:ascii="Book Antiqua" w:hAnsi="Book Antiqua"/>
          <w:i/>
          <w:iCs/>
          <w:lang w:eastAsia="en-ID"/>
        </w:rPr>
        <w:t>Jurnal</w:t>
      </w:r>
      <w:proofErr w:type="spellEnd"/>
      <w:r w:rsidRPr="00355E5C">
        <w:rPr>
          <w:rFonts w:ascii="Book Antiqua" w:hAnsi="Book Antiqua"/>
          <w:i/>
          <w:iCs/>
          <w:lang w:eastAsia="en-ID"/>
        </w:rPr>
        <w:t xml:space="preserve"> </w:t>
      </w:r>
      <w:proofErr w:type="spellStart"/>
      <w:proofErr w:type="gramStart"/>
      <w:r w:rsidRPr="00355E5C">
        <w:rPr>
          <w:rFonts w:ascii="Book Antiqua" w:hAnsi="Book Antiqua"/>
          <w:i/>
          <w:iCs/>
          <w:lang w:eastAsia="en-ID"/>
        </w:rPr>
        <w:t>Konstituen</w:t>
      </w:r>
      <w:proofErr w:type="spellEnd"/>
      <w:r w:rsidRPr="00355E5C">
        <w:rPr>
          <w:rFonts w:ascii="Book Antiqua" w:hAnsi="Book Antiqua"/>
          <w:i/>
          <w:iCs/>
          <w:lang w:eastAsia="en-ID"/>
        </w:rPr>
        <w:t xml:space="preserve">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4 </w:t>
      </w:r>
      <w:r w:rsidRPr="00355E5C">
        <w:rPr>
          <w:rFonts w:ascii="Book Antiqua" w:hAnsi="Book Antiqua"/>
          <w:lang w:eastAsia="en-ID"/>
        </w:rPr>
        <w:t>(1), 25–39. https://doi.org/10.33701/jk.v4i1.2598</w:t>
      </w:r>
    </w:p>
    <w:p w14:paraId="31BECB1F"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Masiero, S., &amp; Das, S. (2019). </w:t>
      </w:r>
      <w:proofErr w:type="spellStart"/>
      <w:r w:rsidRPr="00355E5C">
        <w:rPr>
          <w:rFonts w:ascii="Book Antiqua" w:hAnsi="Book Antiqua"/>
          <w:lang w:eastAsia="en-ID"/>
        </w:rPr>
        <w:t>Datafying</w:t>
      </w:r>
      <w:proofErr w:type="spellEnd"/>
      <w:r w:rsidRPr="00355E5C">
        <w:rPr>
          <w:rFonts w:ascii="Book Antiqua" w:hAnsi="Book Antiqua"/>
          <w:lang w:eastAsia="en-ID"/>
        </w:rPr>
        <w:t xml:space="preserve"> anti-poverty programs: Implications for data justice. </w:t>
      </w:r>
      <w:r w:rsidRPr="00355E5C">
        <w:rPr>
          <w:rFonts w:ascii="Book Antiqua" w:hAnsi="Book Antiqua"/>
          <w:i/>
          <w:iCs/>
          <w:lang w:eastAsia="en-ID"/>
        </w:rPr>
        <w:t xml:space="preserve">Information, Communication &amp; </w:t>
      </w:r>
      <w:proofErr w:type="gramStart"/>
      <w:r w:rsidRPr="00355E5C">
        <w:rPr>
          <w:rFonts w:ascii="Book Antiqua" w:hAnsi="Book Antiqua"/>
          <w:i/>
          <w:iCs/>
          <w:lang w:eastAsia="en-ID"/>
        </w:rPr>
        <w:t xml:space="preserve">Society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22 </w:t>
      </w:r>
      <w:r w:rsidRPr="00355E5C">
        <w:rPr>
          <w:rFonts w:ascii="Book Antiqua" w:hAnsi="Book Antiqua"/>
          <w:lang w:eastAsia="en-ID"/>
        </w:rPr>
        <w:t>(7), 916–933. https://doi.org/10.1080/1369118X.2019.1575448</w:t>
      </w:r>
    </w:p>
    <w:p w14:paraId="7F83352E"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Miles, M.B., Huberman, A.M., &amp; Saldaña, J. (2020). </w:t>
      </w:r>
      <w:r w:rsidRPr="00355E5C">
        <w:rPr>
          <w:rFonts w:ascii="Book Antiqua" w:hAnsi="Book Antiqua"/>
          <w:i/>
          <w:iCs/>
          <w:lang w:eastAsia="en-ID"/>
        </w:rPr>
        <w:t xml:space="preserve">Qualitative data analysis: A methods sourcebook </w:t>
      </w:r>
      <w:r w:rsidRPr="00355E5C">
        <w:rPr>
          <w:rFonts w:ascii="Book Antiqua" w:hAnsi="Book Antiqua"/>
          <w:lang w:eastAsia="en-ID"/>
        </w:rPr>
        <w:t>(4th ed.). SAGE Publications.</w:t>
      </w:r>
    </w:p>
    <w:p w14:paraId="679C2C81"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Regulation of the Minister of Home Affairs of the Republic of Indonesia Number 5 of 2024 concerning Single Data for Domestic Government. (2024). https://peraturan.bpk.go.id</w:t>
      </w:r>
    </w:p>
    <w:p w14:paraId="6D64485F"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Regulation of the Minister of National Development Planning/Head of </w:t>
      </w:r>
      <w:proofErr w:type="spellStart"/>
      <w:r w:rsidRPr="00355E5C">
        <w:rPr>
          <w:rFonts w:ascii="Book Antiqua" w:hAnsi="Book Antiqua"/>
          <w:lang w:eastAsia="en-ID"/>
        </w:rPr>
        <w:t>Bappenas</w:t>
      </w:r>
      <w:proofErr w:type="spellEnd"/>
      <w:r w:rsidRPr="00355E5C">
        <w:rPr>
          <w:rFonts w:ascii="Book Antiqua" w:hAnsi="Book Antiqua"/>
          <w:lang w:eastAsia="en-ID"/>
        </w:rPr>
        <w:t xml:space="preserve"> Number 7 of 2025 concerning Guidelines for Sharing National Single Social and Economic Data. (2025).</w:t>
      </w:r>
    </w:p>
    <w:p w14:paraId="3B3959DA"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lastRenderedPageBreak/>
        <w:t>Regulation of the Minister of Social Affairs of the Republic of Indonesia Number 3 of 2025 concerning the Updating and Use of National Social and Economic Single Data. (2025).</w:t>
      </w:r>
    </w:p>
    <w:p w14:paraId="2238C50E"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Government Regulation of the Republic of Indonesia Number 17 of 2018 concerning Districts. (2018).</w:t>
      </w:r>
    </w:p>
    <w:p w14:paraId="76EC8126"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Presidential Regulation of the Republic of Indonesia Number 39 of 2019 concerning One Data Indonesia. (2019).</w:t>
      </w:r>
    </w:p>
    <w:p w14:paraId="13E11EEE"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Poel, M., van der Torre, L., &amp; Dignum, V. (2023). Government data quality and the challenge of distributed stewardship. </w:t>
      </w:r>
      <w:r w:rsidRPr="00355E5C">
        <w:rPr>
          <w:rFonts w:ascii="Book Antiqua" w:hAnsi="Book Antiqua"/>
          <w:i/>
          <w:iCs/>
          <w:lang w:eastAsia="en-ID"/>
        </w:rPr>
        <w:t xml:space="preserve">Information </w:t>
      </w:r>
      <w:proofErr w:type="gramStart"/>
      <w:r w:rsidRPr="00355E5C">
        <w:rPr>
          <w:rFonts w:ascii="Book Antiqua" w:hAnsi="Book Antiqua"/>
          <w:i/>
          <w:iCs/>
          <w:lang w:eastAsia="en-ID"/>
        </w:rPr>
        <w:t xml:space="preserve">Polity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28 </w:t>
      </w:r>
      <w:r w:rsidRPr="00355E5C">
        <w:rPr>
          <w:rFonts w:ascii="Book Antiqua" w:hAnsi="Book Antiqua"/>
          <w:lang w:eastAsia="en-ID"/>
        </w:rPr>
        <w:t>(2), 215–232. https://doi.org/10.3233/IP-220069</w:t>
      </w:r>
    </w:p>
    <w:p w14:paraId="3E6C3B78"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SKALA. (2025). Policy brief: DTSEN update. https://www.skala.or.id/wp-content/uploads/2025/04/160425-PB-Pemutakhiran-DTSEN-ID.pdf</w:t>
      </w:r>
    </w:p>
    <w:p w14:paraId="59324E79"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Sugiyono. (2022). </w:t>
      </w:r>
      <w:r w:rsidRPr="00355E5C">
        <w:rPr>
          <w:rFonts w:ascii="Book Antiqua" w:hAnsi="Book Antiqua"/>
          <w:i/>
          <w:iCs/>
          <w:lang w:eastAsia="en-ID"/>
        </w:rPr>
        <w:t xml:space="preserve">Quantitative, qualitative, and R&amp;D research </w:t>
      </w:r>
      <w:proofErr w:type="gramStart"/>
      <w:r w:rsidRPr="00355E5C">
        <w:rPr>
          <w:rFonts w:ascii="Book Antiqua" w:hAnsi="Book Antiqua"/>
          <w:i/>
          <w:iCs/>
          <w:lang w:eastAsia="en-ID"/>
        </w:rPr>
        <w:t xml:space="preserve">methods </w:t>
      </w:r>
      <w:r w:rsidRPr="00355E5C">
        <w:rPr>
          <w:rFonts w:ascii="Book Antiqua" w:hAnsi="Book Antiqua"/>
          <w:lang w:eastAsia="en-ID"/>
        </w:rPr>
        <w:t>.</w:t>
      </w:r>
      <w:proofErr w:type="gramEnd"/>
      <w:r w:rsidRPr="00355E5C">
        <w:rPr>
          <w:rFonts w:ascii="Book Antiqua" w:hAnsi="Book Antiqua"/>
          <w:lang w:eastAsia="en-ID"/>
        </w:rPr>
        <w:t xml:space="preserve"> </w:t>
      </w:r>
      <w:proofErr w:type="spellStart"/>
      <w:r w:rsidRPr="00355E5C">
        <w:rPr>
          <w:rFonts w:ascii="Book Antiqua" w:hAnsi="Book Antiqua"/>
          <w:lang w:eastAsia="en-ID"/>
        </w:rPr>
        <w:t>Alfabeta</w:t>
      </w:r>
      <w:proofErr w:type="spellEnd"/>
      <w:r w:rsidRPr="00355E5C">
        <w:rPr>
          <w:rFonts w:ascii="Book Antiqua" w:hAnsi="Book Antiqua"/>
          <w:lang w:eastAsia="en-ID"/>
        </w:rPr>
        <w:t>.</w:t>
      </w:r>
    </w:p>
    <w:p w14:paraId="79F956AA"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The World Bank. (2022). </w:t>
      </w:r>
      <w:r w:rsidRPr="00355E5C">
        <w:rPr>
          <w:rFonts w:ascii="Book Antiqua" w:hAnsi="Book Antiqua"/>
          <w:i/>
          <w:iCs/>
          <w:lang w:eastAsia="en-ID"/>
        </w:rPr>
        <w:t xml:space="preserve">Revisiting targeting in social assistance: A new look at old </w:t>
      </w:r>
      <w:proofErr w:type="gramStart"/>
      <w:r w:rsidRPr="00355E5C">
        <w:rPr>
          <w:rFonts w:ascii="Book Antiqua" w:hAnsi="Book Antiqua"/>
          <w:i/>
          <w:iCs/>
          <w:lang w:eastAsia="en-ID"/>
        </w:rPr>
        <w:t xml:space="preserve">dilemmas </w:t>
      </w:r>
      <w:r w:rsidRPr="00355E5C">
        <w:rPr>
          <w:rFonts w:ascii="Book Antiqua" w:hAnsi="Book Antiqua"/>
          <w:lang w:eastAsia="en-ID"/>
        </w:rPr>
        <w:t>.</w:t>
      </w:r>
      <w:proofErr w:type="gramEnd"/>
      <w:r w:rsidRPr="00355E5C">
        <w:rPr>
          <w:rFonts w:ascii="Book Antiqua" w:hAnsi="Book Antiqua"/>
          <w:lang w:eastAsia="en-ID"/>
        </w:rPr>
        <w:t xml:space="preserve"> World Bank. https://doi.org/10.1596/978-1-4648-1814-1</w:t>
      </w:r>
    </w:p>
    <w:p w14:paraId="6D7EA85F"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Law of the Republic of Indonesia Number 11 of 2009 concerning Social Welfare. (2009).</w:t>
      </w:r>
    </w:p>
    <w:p w14:paraId="2F0E4504"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Law of the Republic of Indonesia Number 13 of 2011 concerning Handling of the Poor. (2011).</w:t>
      </w:r>
    </w:p>
    <w:p w14:paraId="517A71B6"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Law of the Republic of Indonesia Number 23 of 2014 concerning Regional Government. (2014).</w:t>
      </w:r>
    </w:p>
    <w:p w14:paraId="616922FD"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Widyaningsih</w:t>
      </w:r>
      <w:proofErr w:type="spellEnd"/>
      <w:r w:rsidRPr="00355E5C">
        <w:rPr>
          <w:rFonts w:ascii="Book Antiqua" w:hAnsi="Book Antiqua"/>
          <w:lang w:eastAsia="en-ID"/>
        </w:rPr>
        <w:t xml:space="preserve">, D., </w:t>
      </w:r>
      <w:proofErr w:type="spellStart"/>
      <w:r w:rsidRPr="00355E5C">
        <w:rPr>
          <w:rFonts w:ascii="Book Antiqua" w:hAnsi="Book Antiqua"/>
          <w:lang w:eastAsia="en-ID"/>
        </w:rPr>
        <w:t>Toyamah</w:t>
      </w:r>
      <w:proofErr w:type="spellEnd"/>
      <w:r w:rsidRPr="00355E5C">
        <w:rPr>
          <w:rFonts w:ascii="Book Antiqua" w:hAnsi="Book Antiqua"/>
          <w:lang w:eastAsia="en-ID"/>
        </w:rPr>
        <w:t xml:space="preserve">, N., &amp; </w:t>
      </w:r>
      <w:proofErr w:type="spellStart"/>
      <w:r w:rsidRPr="00355E5C">
        <w:rPr>
          <w:rFonts w:ascii="Book Antiqua" w:hAnsi="Book Antiqua"/>
          <w:lang w:eastAsia="en-ID"/>
        </w:rPr>
        <w:t>Ruhmaniyati</w:t>
      </w:r>
      <w:proofErr w:type="spellEnd"/>
      <w:r w:rsidRPr="00355E5C">
        <w:rPr>
          <w:rFonts w:ascii="Book Antiqua" w:hAnsi="Book Antiqua"/>
          <w:lang w:eastAsia="en-ID"/>
        </w:rPr>
        <w:t xml:space="preserve">. (2023). The urgency of updating integrated data: Lessons from case studies in six regions of Indonesia. </w:t>
      </w:r>
      <w:r w:rsidRPr="00355E5C">
        <w:rPr>
          <w:rFonts w:ascii="Book Antiqua" w:hAnsi="Book Antiqua"/>
          <w:i/>
          <w:iCs/>
          <w:lang w:eastAsia="en-ID"/>
        </w:rPr>
        <w:t xml:space="preserve">Journal of Economics and </w:t>
      </w:r>
      <w:proofErr w:type="gramStart"/>
      <w:r w:rsidRPr="00355E5C">
        <w:rPr>
          <w:rFonts w:ascii="Book Antiqua" w:hAnsi="Book Antiqua"/>
          <w:i/>
          <w:iCs/>
          <w:lang w:eastAsia="en-ID"/>
        </w:rPr>
        <w:t xml:space="preserve">Development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31 </w:t>
      </w:r>
      <w:r w:rsidRPr="00355E5C">
        <w:rPr>
          <w:rFonts w:ascii="Book Antiqua" w:hAnsi="Book Antiqua"/>
          <w:lang w:eastAsia="en-ID"/>
        </w:rPr>
        <w:t>(2).</w:t>
      </w:r>
    </w:p>
    <w:p w14:paraId="197035E1"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Wijayanti</w:t>
      </w:r>
      <w:proofErr w:type="spellEnd"/>
      <w:r w:rsidRPr="00355E5C">
        <w:rPr>
          <w:rFonts w:ascii="Book Antiqua" w:hAnsi="Book Antiqua"/>
          <w:lang w:eastAsia="en-ID"/>
        </w:rPr>
        <w:t xml:space="preserve">, CD, </w:t>
      </w:r>
      <w:proofErr w:type="spellStart"/>
      <w:r w:rsidRPr="00355E5C">
        <w:rPr>
          <w:rFonts w:ascii="Book Antiqua" w:hAnsi="Book Antiqua"/>
          <w:lang w:eastAsia="en-ID"/>
        </w:rPr>
        <w:t>Soegianto</w:t>
      </w:r>
      <w:proofErr w:type="spellEnd"/>
      <w:r w:rsidRPr="00355E5C">
        <w:rPr>
          <w:rFonts w:ascii="Book Antiqua" w:hAnsi="Book Antiqua"/>
          <w:lang w:eastAsia="en-ID"/>
        </w:rPr>
        <w:t xml:space="preserve">, S., </w:t>
      </w:r>
      <w:proofErr w:type="spellStart"/>
      <w:r w:rsidRPr="00355E5C">
        <w:rPr>
          <w:rFonts w:ascii="Book Antiqua" w:hAnsi="Book Antiqua"/>
          <w:lang w:eastAsia="en-ID"/>
        </w:rPr>
        <w:t>Sudarmanto</w:t>
      </w:r>
      <w:proofErr w:type="spellEnd"/>
      <w:r w:rsidRPr="00355E5C">
        <w:rPr>
          <w:rFonts w:ascii="Book Antiqua" w:hAnsi="Book Antiqua"/>
          <w:lang w:eastAsia="en-ID"/>
        </w:rPr>
        <w:t xml:space="preserve">, K., &amp; Arifin, Z. (2025). Implementation of DTKS-based social assistance for recipient accuracy in Semarang City. </w:t>
      </w:r>
      <w:r w:rsidRPr="00355E5C">
        <w:rPr>
          <w:rFonts w:ascii="Book Antiqua" w:hAnsi="Book Antiqua"/>
          <w:i/>
          <w:iCs/>
          <w:lang w:eastAsia="en-ID"/>
        </w:rPr>
        <w:t xml:space="preserve">Journal </w:t>
      </w:r>
      <w:proofErr w:type="spellStart"/>
      <w:proofErr w:type="gramStart"/>
      <w:r w:rsidRPr="00355E5C">
        <w:rPr>
          <w:rFonts w:ascii="Book Antiqua" w:hAnsi="Book Antiqua"/>
          <w:i/>
          <w:iCs/>
          <w:lang w:eastAsia="en-ID"/>
        </w:rPr>
        <w:t>Juridisch</w:t>
      </w:r>
      <w:proofErr w:type="spellEnd"/>
      <w:r w:rsidRPr="00355E5C">
        <w:rPr>
          <w:rFonts w:ascii="Book Antiqua" w:hAnsi="Book Antiqua"/>
          <w:i/>
          <w:iCs/>
          <w:lang w:eastAsia="en-ID"/>
        </w:rPr>
        <w:t xml:space="preserve">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3 </w:t>
      </w:r>
      <w:r w:rsidRPr="00355E5C">
        <w:rPr>
          <w:rFonts w:ascii="Book Antiqua" w:hAnsi="Book Antiqua"/>
          <w:lang w:eastAsia="en-ID"/>
        </w:rPr>
        <w:t>(3), 221–235. https://doi.org/10.26623/jj.v3i3.12886</w:t>
      </w:r>
    </w:p>
    <w:p w14:paraId="00CFB6C8"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Yin, R. K. (2018). </w:t>
      </w:r>
      <w:r w:rsidRPr="00355E5C">
        <w:rPr>
          <w:rFonts w:ascii="Book Antiqua" w:hAnsi="Book Antiqua"/>
          <w:i/>
          <w:iCs/>
          <w:lang w:eastAsia="en-ID"/>
        </w:rPr>
        <w:t xml:space="preserve">Case study research and applications: Design and methods </w:t>
      </w:r>
      <w:r w:rsidRPr="00355E5C">
        <w:rPr>
          <w:rFonts w:ascii="Book Antiqua" w:hAnsi="Book Antiqua"/>
          <w:lang w:eastAsia="en-ID"/>
        </w:rPr>
        <w:t>(6th ed.). SAGE Publications.</w:t>
      </w:r>
    </w:p>
    <w:p w14:paraId="3BA3D96B" w14:textId="77777777" w:rsidR="003A22C8" w:rsidRPr="00355E5C" w:rsidRDefault="003A22C8" w:rsidP="003A22C8">
      <w:pPr>
        <w:pStyle w:val="NoSpacing"/>
        <w:ind w:left="720" w:hanging="720"/>
        <w:jc w:val="both"/>
        <w:rPr>
          <w:rFonts w:ascii="Book Antiqua" w:hAnsi="Book Antiqua"/>
          <w:lang w:eastAsia="en-ID"/>
        </w:rPr>
      </w:pPr>
      <w:proofErr w:type="spellStart"/>
      <w:r w:rsidRPr="00355E5C">
        <w:rPr>
          <w:rFonts w:ascii="Book Antiqua" w:hAnsi="Book Antiqua"/>
          <w:lang w:eastAsia="en-ID"/>
        </w:rPr>
        <w:t>Yusup</w:t>
      </w:r>
      <w:proofErr w:type="spellEnd"/>
      <w:r w:rsidRPr="00355E5C">
        <w:rPr>
          <w:rFonts w:ascii="Book Antiqua" w:hAnsi="Book Antiqua"/>
          <w:lang w:eastAsia="en-ID"/>
        </w:rPr>
        <w:t xml:space="preserve">, SA, </w:t>
      </w:r>
      <w:proofErr w:type="spellStart"/>
      <w:r w:rsidRPr="00355E5C">
        <w:rPr>
          <w:rFonts w:ascii="Book Antiqua" w:hAnsi="Book Antiqua"/>
          <w:lang w:eastAsia="en-ID"/>
        </w:rPr>
        <w:t>Mubarok</w:t>
      </w:r>
      <w:proofErr w:type="spellEnd"/>
      <w:r w:rsidRPr="00355E5C">
        <w:rPr>
          <w:rFonts w:ascii="Book Antiqua" w:hAnsi="Book Antiqua"/>
          <w:lang w:eastAsia="en-ID"/>
        </w:rPr>
        <w:t xml:space="preserve">, A., Hafiz, RI, </w:t>
      </w:r>
      <w:proofErr w:type="spellStart"/>
      <w:r w:rsidRPr="00355E5C">
        <w:rPr>
          <w:rFonts w:ascii="Book Antiqua" w:hAnsi="Book Antiqua"/>
          <w:lang w:eastAsia="en-ID"/>
        </w:rPr>
        <w:t>Fatkhuri</w:t>
      </w:r>
      <w:proofErr w:type="spellEnd"/>
      <w:r w:rsidRPr="00355E5C">
        <w:rPr>
          <w:rFonts w:ascii="Book Antiqua" w:hAnsi="Book Antiqua"/>
          <w:lang w:eastAsia="en-ID"/>
        </w:rPr>
        <w:t xml:space="preserve">, &amp; Adrian, MM (2026). Public accountability in the implementation of the digitalization of Integrated Social Welfare Data (DTKS) in DKI Jakarta. </w:t>
      </w:r>
      <w:r w:rsidRPr="00355E5C">
        <w:rPr>
          <w:rFonts w:ascii="Book Antiqua" w:hAnsi="Book Antiqua"/>
          <w:i/>
          <w:iCs/>
          <w:lang w:eastAsia="en-ID"/>
        </w:rPr>
        <w:t xml:space="preserve">Journal of Village Government </w:t>
      </w:r>
      <w:proofErr w:type="gramStart"/>
      <w:r w:rsidRPr="00355E5C">
        <w:rPr>
          <w:rFonts w:ascii="Book Antiqua" w:hAnsi="Book Antiqua"/>
          <w:i/>
          <w:iCs/>
          <w:lang w:eastAsia="en-ID"/>
        </w:rPr>
        <w:t xml:space="preserve">Administration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7 </w:t>
      </w:r>
      <w:r w:rsidRPr="00355E5C">
        <w:rPr>
          <w:rFonts w:ascii="Book Antiqua" w:hAnsi="Book Antiqua"/>
          <w:lang w:eastAsia="en-ID"/>
        </w:rPr>
        <w:t>(2), 134–147. https://doi.org/10.47134/villages.v7i2.481</w:t>
      </w:r>
    </w:p>
    <w:p w14:paraId="17D8B1A5" w14:textId="77777777" w:rsidR="003A22C8" w:rsidRPr="00355E5C" w:rsidRDefault="003A22C8" w:rsidP="003A22C8">
      <w:pPr>
        <w:pStyle w:val="NoSpacing"/>
        <w:ind w:left="720" w:hanging="720"/>
        <w:jc w:val="both"/>
        <w:rPr>
          <w:rFonts w:ascii="Book Antiqua" w:hAnsi="Book Antiqua"/>
          <w:lang w:eastAsia="en-ID"/>
        </w:rPr>
      </w:pPr>
      <w:r w:rsidRPr="00355E5C">
        <w:rPr>
          <w:rFonts w:ascii="Book Antiqua" w:hAnsi="Book Antiqua"/>
          <w:lang w:eastAsia="en-ID"/>
        </w:rPr>
        <w:t xml:space="preserve">Zuiderwijk, A., &amp; Janssen, M. (2014). Open data policies, their implementation and impact: A framework for comparison. </w:t>
      </w:r>
      <w:r w:rsidRPr="00355E5C">
        <w:rPr>
          <w:rFonts w:ascii="Book Antiqua" w:hAnsi="Book Antiqua"/>
          <w:i/>
          <w:iCs/>
          <w:lang w:eastAsia="en-ID"/>
        </w:rPr>
        <w:t xml:space="preserve">Government Information </w:t>
      </w:r>
      <w:proofErr w:type="gramStart"/>
      <w:r w:rsidRPr="00355E5C">
        <w:rPr>
          <w:rFonts w:ascii="Book Antiqua" w:hAnsi="Book Antiqua"/>
          <w:i/>
          <w:iCs/>
          <w:lang w:eastAsia="en-ID"/>
        </w:rPr>
        <w:t xml:space="preserve">Quarterly </w:t>
      </w:r>
      <w:r w:rsidRPr="00355E5C">
        <w:rPr>
          <w:rFonts w:ascii="Book Antiqua" w:hAnsi="Book Antiqua"/>
          <w:lang w:eastAsia="en-ID"/>
        </w:rPr>
        <w:t>,</w:t>
      </w:r>
      <w:proofErr w:type="gramEnd"/>
      <w:r w:rsidRPr="00355E5C">
        <w:rPr>
          <w:rFonts w:ascii="Book Antiqua" w:hAnsi="Book Antiqua"/>
          <w:lang w:eastAsia="en-ID"/>
        </w:rPr>
        <w:t xml:space="preserve"> </w:t>
      </w:r>
      <w:r w:rsidRPr="00355E5C">
        <w:rPr>
          <w:rFonts w:ascii="Book Antiqua" w:hAnsi="Book Antiqua"/>
          <w:i/>
          <w:iCs/>
          <w:lang w:eastAsia="en-ID"/>
        </w:rPr>
        <w:t xml:space="preserve">31 </w:t>
      </w:r>
      <w:r w:rsidRPr="00355E5C">
        <w:rPr>
          <w:rFonts w:ascii="Book Antiqua" w:hAnsi="Book Antiqua"/>
          <w:lang w:eastAsia="en-ID"/>
        </w:rPr>
        <w:t>(1), 17–29. https://doi.org/10.1016/j.giq.2013.04.003</w:t>
      </w:r>
    </w:p>
    <w:p w14:paraId="16BEE87C" w14:textId="77777777" w:rsidR="00622DA4" w:rsidRDefault="00622DA4" w:rsidP="00A85629">
      <w:pPr>
        <w:spacing w:after="0" w:line="240" w:lineRule="auto"/>
        <w:ind w:left="567" w:hanging="567"/>
        <w:jc w:val="both"/>
        <w:rPr>
          <w:rFonts w:ascii="Book Antiqua" w:eastAsia="Book Antiqua" w:hAnsi="Book Antiqua" w:cs="Book Antiqua"/>
          <w:sz w:val="24"/>
          <w:szCs w:val="24"/>
        </w:rPr>
      </w:pPr>
    </w:p>
    <w:sectPr w:rsidR="00622DA4" w:rsidSect="00DD2FA7">
      <w:headerReference w:type="even" r:id="rId13"/>
      <w:headerReference w:type="default" r:id="rId14"/>
      <w:footerReference w:type="even" r:id="rId15"/>
      <w:footerReference w:type="default" r:id="rId16"/>
      <w:headerReference w:type="first" r:id="rId17"/>
      <w:footerReference w:type="first" r:id="rId18"/>
      <w:pgSz w:w="11907" w:h="16840"/>
      <w:pgMar w:top="1418" w:right="1418" w:bottom="1418" w:left="1985" w:header="720" w:footer="720" w:gutter="0"/>
      <w:pgNumType w:start="813"/>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37F084" w14:textId="77777777" w:rsidR="00B55419" w:rsidRDefault="00B55419">
      <w:pPr>
        <w:spacing w:after="0" w:line="240" w:lineRule="auto"/>
      </w:pPr>
      <w:r>
        <w:separator/>
      </w:r>
    </w:p>
  </w:endnote>
  <w:endnote w:type="continuationSeparator" w:id="0">
    <w:p w14:paraId="7EE48075" w14:textId="77777777" w:rsidR="00B55419" w:rsidRDefault="00B55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 Antiqua">
    <w:altName w:val="Thonburi"/>
    <w:panose1 w:val="0204060205030503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33829" w14:textId="77777777" w:rsidR="00622DA4" w:rsidRDefault="0038031F">
    <w:pPr>
      <w:pBdr>
        <w:top w:val="nil"/>
        <w:left w:val="nil"/>
        <w:bottom w:val="nil"/>
        <w:right w:val="nil"/>
        <w:between w:val="nil"/>
      </w:pBdr>
      <w:tabs>
        <w:tab w:val="center" w:pos="4513"/>
        <w:tab w:val="right" w:pos="9026"/>
      </w:tabs>
      <w:spacing w:after="0" w:line="240" w:lineRule="auto"/>
      <w:rPr>
        <w:color w:val="000000"/>
      </w:rPr>
    </w:pPr>
    <w:r>
      <w:rPr>
        <w:color w:val="000000"/>
      </w:rPr>
      <w:fldChar w:fldCharType="begin"/>
    </w:r>
    <w:r>
      <w:rPr>
        <w:color w:val="000000"/>
      </w:rPr>
      <w:instrText>PAGE</w:instrText>
    </w:r>
    <w:r>
      <w:rPr>
        <w:color w:val="000000"/>
      </w:rPr>
      <w:fldChar w:fldCharType="separate"/>
    </w:r>
    <w:r w:rsidR="005722A5">
      <w:rPr>
        <w:noProof/>
        <w:color w:val="000000"/>
      </w:rPr>
      <w:t>4</w:t>
    </w:r>
    <w:r>
      <w:rPr>
        <w:color w:val="000000"/>
      </w:rPr>
      <w:fldChar w:fldCharType="end"/>
    </w:r>
  </w:p>
  <w:p w14:paraId="3E2E2A4D" w14:textId="77777777" w:rsidR="00622DA4" w:rsidRDefault="00622DA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682952" w14:textId="25E27871" w:rsidR="00622DA4" w:rsidRDefault="0038031F">
    <w:pPr>
      <w:pBdr>
        <w:top w:val="nil"/>
        <w:left w:val="nil"/>
        <w:bottom w:val="nil"/>
        <w:right w:val="nil"/>
        <w:between w:val="nil"/>
      </w:pBdr>
      <w:tabs>
        <w:tab w:val="center" w:pos="4513"/>
        <w:tab w:val="right" w:pos="9026"/>
        <w:tab w:val="right" w:pos="8505"/>
      </w:tabs>
      <w:spacing w:after="0" w:line="240" w:lineRule="auto"/>
      <w:rPr>
        <w:color w:val="000000"/>
      </w:rPr>
    </w:pPr>
    <w:r>
      <w:rPr>
        <w:color w:val="000000"/>
      </w:rPr>
      <w:tab/>
    </w:r>
    <w:r>
      <w:rPr>
        <w:color w:val="000000"/>
      </w:rPr>
      <w:tab/>
    </w:r>
    <w:r>
      <w:rPr>
        <w:color w:val="000000"/>
      </w:rPr>
      <w:fldChar w:fldCharType="begin"/>
    </w:r>
    <w:r>
      <w:rPr>
        <w:color w:val="000000"/>
      </w:rPr>
      <w:instrText>PAGE</w:instrText>
    </w:r>
    <w:r>
      <w:rPr>
        <w:color w:val="000000"/>
      </w:rPr>
      <w:fldChar w:fldCharType="separate"/>
    </w:r>
    <w:r w:rsidR="005722A5">
      <w:rPr>
        <w:noProof/>
        <w:color w:val="000000"/>
      </w:rPr>
      <w:t>3</w:t>
    </w:r>
    <w:r>
      <w:rPr>
        <w:color w:val="000000"/>
      </w:rPr>
      <w:fldChar w:fldCharType="end"/>
    </w:r>
  </w:p>
  <w:p w14:paraId="6A060507" w14:textId="77777777" w:rsidR="00622DA4" w:rsidRDefault="00622DA4">
    <w:pPr>
      <w:pBdr>
        <w:top w:val="nil"/>
        <w:left w:val="nil"/>
        <w:bottom w:val="nil"/>
        <w:right w:val="nil"/>
        <w:between w:val="nil"/>
      </w:pBdr>
      <w:tabs>
        <w:tab w:val="center" w:pos="4513"/>
        <w:tab w:val="right" w:pos="9026"/>
      </w:tabs>
      <w:spacing w:after="0" w:line="240" w:lineRule="auto"/>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47D772" w14:textId="098328A4" w:rsidR="00622DA4" w:rsidRDefault="00CD60BB">
    <w:pPr>
      <w:pBdr>
        <w:top w:val="nil"/>
        <w:left w:val="nil"/>
        <w:bottom w:val="nil"/>
        <w:right w:val="nil"/>
        <w:between w:val="nil"/>
      </w:pBdr>
      <w:tabs>
        <w:tab w:val="center" w:pos="4513"/>
        <w:tab w:val="right" w:pos="9026"/>
      </w:tabs>
      <w:spacing w:after="0" w:line="240" w:lineRule="auto"/>
      <w:jc w:val="right"/>
      <w:rPr>
        <w:color w:val="000000"/>
      </w:rPr>
    </w:pPr>
    <w:r>
      <w:rPr>
        <w:noProof/>
        <w:lang w:val="id-ID" w:eastAsia="id-ID"/>
      </w:rPr>
      <mc:AlternateContent>
        <mc:Choice Requires="wps">
          <w:drawing>
            <wp:anchor distT="0" distB="0" distL="114300" distR="114300" simplePos="0" relativeHeight="251659264" behindDoc="0" locked="0" layoutInCell="1" hidden="0" allowOverlap="1" wp14:anchorId="588662DB" wp14:editId="4DA9774B">
              <wp:simplePos x="0" y="0"/>
              <wp:positionH relativeFrom="column">
                <wp:posOffset>-41275</wp:posOffset>
              </wp:positionH>
              <wp:positionV relativeFrom="paragraph">
                <wp:posOffset>-103505</wp:posOffset>
              </wp:positionV>
              <wp:extent cx="4200525" cy="666750"/>
              <wp:effectExtent l="0" t="0" r="9525" b="0"/>
              <wp:wrapNone/>
              <wp:docPr id="7" name="Rectangle 7"/>
              <wp:cNvGraphicFramePr/>
              <a:graphic xmlns:a="http://schemas.openxmlformats.org/drawingml/2006/main">
                <a:graphicData uri="http://schemas.microsoft.com/office/word/2010/wordprocessingShape">
                  <wps:wsp>
                    <wps:cNvSpPr/>
                    <wps:spPr>
                      <a:xfrm>
                        <a:off x="0" y="0"/>
                        <a:ext cx="4200525" cy="666750"/>
                      </a:xfrm>
                      <a:prstGeom prst="rect">
                        <a:avLst/>
                      </a:prstGeom>
                      <a:solidFill>
                        <a:srgbClr val="FFFFFF"/>
                      </a:solidFill>
                      <a:ln>
                        <a:noFill/>
                      </a:ln>
                    </wps:spPr>
                    <wps:txbx>
                      <w:txbxContent>
                        <w:p w14:paraId="25337F34" w14:textId="0DC720D4" w:rsidR="000968D8" w:rsidRPr="00014B52" w:rsidRDefault="000968D8" w:rsidP="000968D8">
                          <w:pPr>
                            <w:spacing w:after="0"/>
                            <w:textDirection w:val="btLr"/>
                            <w:rPr>
                              <w:rFonts w:ascii="Book Antiqua" w:eastAsia="Book Antiqua" w:hAnsi="Book Antiqua" w:cs="Book Antiqua"/>
                              <w:color w:val="000000"/>
                            </w:rPr>
                          </w:pPr>
                          <w:r w:rsidRPr="00362CD3">
                            <w:rPr>
                              <w:rFonts w:ascii="Book Antiqua" w:eastAsia="Book Antiqua" w:hAnsi="Book Antiqua" w:cs="Book Antiqua"/>
                              <w:color w:val="000000"/>
                            </w:rPr>
                            <w:t xml:space="preserve">DOI: </w:t>
                          </w:r>
                          <w:hyperlink r:id="rId1" w:history="1">
                            <w:r w:rsidR="004B0B29">
                              <w:rPr>
                                <w:rStyle w:val="Hyperlink"/>
                                <w:rFonts w:ascii="Segoe UI" w:hAnsi="Segoe UI" w:cs="Segoe UI"/>
                                <w:color w:val="006798"/>
                                <w:sz w:val="21"/>
                                <w:szCs w:val="21"/>
                                <w:shd w:val="clear" w:color="auto" w:fill="FFFFFF"/>
                              </w:rPr>
                              <w:t>https://doi.org/10.59890/ijarss.v4i9.46</w:t>
                            </w:r>
                          </w:hyperlink>
                          <w:r>
                            <w:br/>
                          </w:r>
                          <w:r w:rsidRPr="00362CD3">
                            <w:rPr>
                              <w:rStyle w:val="Strong"/>
                              <w:rFonts w:ascii="Book Antiqua" w:hAnsi="Book Antiqua"/>
                            </w:rPr>
                            <w:t>E – ISSN :</w:t>
                          </w:r>
                          <w:r>
                            <w:rPr>
                              <w:rStyle w:val="Strong"/>
                              <w:rFonts w:ascii="Book Antiqua" w:hAnsi="Book Antiqua"/>
                            </w:rPr>
                            <w:t xml:space="preserve"> </w:t>
                          </w:r>
                          <w:r w:rsidRPr="00362CD3">
                            <w:rPr>
                              <w:rStyle w:val="Strong"/>
                              <w:rFonts w:ascii="Book Antiqua" w:hAnsi="Book Antiqua"/>
                            </w:rPr>
                            <w:t>30</w:t>
                          </w:r>
                          <w:r w:rsidR="00EF05BD">
                            <w:rPr>
                              <w:rStyle w:val="Strong"/>
                              <w:rFonts w:ascii="Book Antiqua" w:hAnsi="Book Antiqua"/>
                            </w:rPr>
                            <w:t>26</w:t>
                          </w:r>
                          <w:r w:rsidRPr="00362CD3">
                            <w:rPr>
                              <w:rStyle w:val="Strong"/>
                              <w:rFonts w:ascii="Book Antiqua" w:hAnsi="Book Antiqua"/>
                            </w:rPr>
                            <w:t>-</w:t>
                          </w:r>
                          <w:r w:rsidR="00EF05BD">
                            <w:rPr>
                              <w:rStyle w:val="Strong"/>
                              <w:rFonts w:ascii="Book Antiqua" w:hAnsi="Book Antiqua"/>
                            </w:rPr>
                            <w:t>0205</w:t>
                          </w:r>
                          <w:bookmarkStart w:id="0" w:name="_GoBack"/>
                          <w:bookmarkEnd w:id="0"/>
                        </w:p>
                        <w:p w14:paraId="43A3BD17" w14:textId="77777777" w:rsidR="000968D8" w:rsidRPr="0019570E" w:rsidRDefault="000968D8" w:rsidP="000968D8">
                          <w:pPr>
                            <w:spacing w:after="0" w:line="240" w:lineRule="auto"/>
                            <w:textDirection w:val="btLr"/>
                          </w:pPr>
                          <w:r w:rsidRPr="00827632">
                            <w:rPr>
                              <w:rStyle w:val="Hyperlink"/>
                            </w:rPr>
                            <w:t>https://jpnmultitechpublisher.my.id/index.php/ijarss/index</w:t>
                          </w:r>
                        </w:p>
                        <w:p w14:paraId="23CC438F" w14:textId="77777777" w:rsidR="0019570E" w:rsidRPr="0019570E" w:rsidRDefault="0019570E" w:rsidP="0019570E">
                          <w:pPr>
                            <w:spacing w:after="0" w:line="240" w:lineRule="auto"/>
                            <w:textDirection w:val="btLr"/>
                            <w:rPr>
                              <w:lang w:val="id-ID"/>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88662DB" id="Rectangle 7" o:spid="_x0000_s1026" style="position:absolute;left:0;text-align:left;margin-left:-3.25pt;margin-top:-8.15pt;width:330.75pt;height: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" stroked="f">
              <v:textbox inset="2.53958mm,1.2694mm,2.53958mm,1.2694mm">
                <w:txbxContent>
                  <w:p w14:paraId="25337F34" w14:textId="0DC720D4" w:rsidR="000968D8" w:rsidRPr="00014B52" w:rsidRDefault="000968D8" w:rsidP="000968D8">
                    <w:pPr>
                      <w:spacing w:after="0"/>
                      <w:textDirection w:val="btLr"/>
                      <w:rPr>
                        <w:rFonts w:ascii="Book Antiqua" w:eastAsia="Book Antiqua" w:hAnsi="Book Antiqua" w:cs="Book Antiqua"/>
                        <w:color w:val="000000"/>
                      </w:rPr>
                    </w:pPr>
                    <w:r w:rsidRPr="00362CD3">
                      <w:rPr>
                        <w:rFonts w:ascii="Book Antiqua" w:eastAsia="Book Antiqua" w:hAnsi="Book Antiqua" w:cs="Book Antiqua"/>
                        <w:color w:val="000000"/>
                      </w:rPr>
                      <w:t xml:space="preserve">DOI: </w:t>
                    </w:r>
                    <w:hyperlink r:id="rId2" w:history="1">
                      <w:r w:rsidR="004B0B29">
                        <w:rPr>
                          <w:rStyle w:val="Hyperlink"/>
                          <w:rFonts w:ascii="Segoe UI" w:hAnsi="Segoe UI" w:cs="Segoe UI"/>
                          <w:color w:val="006798"/>
                          <w:sz w:val="21"/>
                          <w:szCs w:val="21"/>
                          <w:shd w:val="clear" w:color="auto" w:fill="FFFFFF"/>
                        </w:rPr>
                        <w:t>https://doi.org/10.59890/ijarss.v4i9.46</w:t>
                      </w:r>
                    </w:hyperlink>
                    <w:r>
                      <w:br/>
                    </w:r>
                    <w:r w:rsidRPr="00362CD3">
                      <w:rPr>
                        <w:rStyle w:val="Strong"/>
                        <w:rFonts w:ascii="Book Antiqua" w:hAnsi="Book Antiqua"/>
                      </w:rPr>
                      <w:t>E – ISSN :</w:t>
                    </w:r>
                    <w:r>
                      <w:rPr>
                        <w:rStyle w:val="Strong"/>
                        <w:rFonts w:ascii="Book Antiqua" w:hAnsi="Book Antiqua"/>
                      </w:rPr>
                      <w:t xml:space="preserve"> </w:t>
                    </w:r>
                    <w:r w:rsidRPr="00362CD3">
                      <w:rPr>
                        <w:rStyle w:val="Strong"/>
                        <w:rFonts w:ascii="Book Antiqua" w:hAnsi="Book Antiqua"/>
                      </w:rPr>
                      <w:t>30</w:t>
                    </w:r>
                    <w:r w:rsidR="00EF05BD">
                      <w:rPr>
                        <w:rStyle w:val="Strong"/>
                        <w:rFonts w:ascii="Book Antiqua" w:hAnsi="Book Antiqua"/>
                      </w:rPr>
                      <w:t>26</w:t>
                    </w:r>
                    <w:r w:rsidRPr="00362CD3">
                      <w:rPr>
                        <w:rStyle w:val="Strong"/>
                        <w:rFonts w:ascii="Book Antiqua" w:hAnsi="Book Antiqua"/>
                      </w:rPr>
                      <w:t>-</w:t>
                    </w:r>
                    <w:r w:rsidR="00EF05BD">
                      <w:rPr>
                        <w:rStyle w:val="Strong"/>
                        <w:rFonts w:ascii="Book Antiqua" w:hAnsi="Book Antiqua"/>
                      </w:rPr>
                      <w:t>0205</w:t>
                    </w:r>
                    <w:bookmarkStart w:id="1" w:name="_GoBack"/>
                    <w:bookmarkEnd w:id="1"/>
                  </w:p>
                  <w:p w14:paraId="43A3BD17" w14:textId="77777777" w:rsidR="000968D8" w:rsidRPr="0019570E" w:rsidRDefault="000968D8" w:rsidP="000968D8">
                    <w:pPr>
                      <w:spacing w:after="0" w:line="240" w:lineRule="auto"/>
                      <w:textDirection w:val="btLr"/>
                    </w:pPr>
                    <w:r w:rsidRPr="00827632">
                      <w:rPr>
                        <w:rStyle w:val="Hyperlink"/>
                      </w:rPr>
                      <w:t>https://jpnmultitechpublisher.my.id/index.php/ijarss/index</w:t>
                    </w:r>
                  </w:p>
                  <w:p w14:paraId="23CC438F" w14:textId="77777777" w:rsidR="0019570E" w:rsidRPr="0019570E" w:rsidRDefault="0019570E" w:rsidP="0019570E">
                    <w:pPr>
                      <w:spacing w:after="0" w:line="240" w:lineRule="auto"/>
                      <w:textDirection w:val="btLr"/>
                      <w:rPr>
                        <w:lang w:val="id-ID"/>
                      </w:rPr>
                    </w:pPr>
                  </w:p>
                </w:txbxContent>
              </v:textbox>
            </v:rect>
          </w:pict>
        </mc:Fallback>
      </mc:AlternateContent>
    </w:r>
    <w:r>
      <w:rPr>
        <w:color w:val="000000"/>
      </w:rPr>
      <w:fldChar w:fldCharType="begin"/>
    </w:r>
    <w:r>
      <w:rPr>
        <w:color w:val="000000"/>
      </w:rPr>
      <w:instrText>PAGE</w:instrText>
    </w:r>
    <w:r>
      <w:rPr>
        <w:color w:val="000000"/>
      </w:rPr>
      <w:fldChar w:fldCharType="separate"/>
    </w:r>
    <w:r w:rsidR="005722A5">
      <w:rPr>
        <w:noProof/>
        <w:color w:val="000000"/>
      </w:rPr>
      <w:t>1</w:t>
    </w:r>
    <w:r>
      <w:rPr>
        <w:color w:val="000000"/>
      </w:rPr>
      <w:fldChar w:fldCharType="end"/>
    </w:r>
  </w:p>
  <w:p w14:paraId="0F21206F" w14:textId="77777777" w:rsidR="00622DA4" w:rsidRDefault="0038031F">
    <w:pPr>
      <w:pBdr>
        <w:top w:val="nil"/>
        <w:left w:val="nil"/>
        <w:bottom w:val="nil"/>
        <w:right w:val="nil"/>
        <w:between w:val="nil"/>
      </w:pBdr>
      <w:tabs>
        <w:tab w:val="center" w:pos="4513"/>
        <w:tab w:val="right" w:pos="9026"/>
      </w:tabs>
      <w:spacing w:after="0" w:line="240" w:lineRule="auto"/>
      <w:rPr>
        <w:color w:val="000000"/>
      </w:rPr>
    </w:pPr>
    <w:r>
      <w:rPr>
        <w:color w:val="00000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BCCC8E" w14:textId="77777777" w:rsidR="00B55419" w:rsidRDefault="00B55419">
      <w:pPr>
        <w:spacing w:after="0" w:line="240" w:lineRule="auto"/>
      </w:pPr>
      <w:r>
        <w:separator/>
      </w:r>
    </w:p>
  </w:footnote>
  <w:footnote w:type="continuationSeparator" w:id="0">
    <w:p w14:paraId="05B57BAC" w14:textId="77777777" w:rsidR="00B55419" w:rsidRDefault="00B55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BF0414" w14:textId="0584B11F" w:rsidR="00622DA4" w:rsidRPr="00DD2FA7" w:rsidRDefault="00DD2FA7" w:rsidP="00DD2FA7">
    <w:pPr>
      <w:pStyle w:val="Header"/>
    </w:pPr>
    <w:r w:rsidRPr="00DD2FA7">
      <w:rPr>
        <w:rFonts w:ascii="Book Antiqua" w:eastAsia="Book Antiqua" w:hAnsi="Book Antiqua" w:cs="Book Antiqua"/>
        <w:i/>
        <w:color w:val="000000"/>
      </w:rPr>
      <w:t xml:space="preserve">Armanda, </w:t>
    </w:r>
    <w:proofErr w:type="spellStart"/>
    <w:r w:rsidRPr="00DD2FA7">
      <w:rPr>
        <w:rFonts w:ascii="Book Antiqua" w:eastAsia="Book Antiqua" w:hAnsi="Book Antiqua" w:cs="Book Antiqua"/>
        <w:i/>
        <w:color w:val="000000"/>
      </w:rPr>
      <w:t>Saprudin</w:t>
    </w:r>
    <w:proofErr w:type="spellEnd"/>
    <w:r w:rsidRPr="00DD2FA7">
      <w:rPr>
        <w:rFonts w:ascii="Book Antiqua" w:eastAsia="Book Antiqua" w:hAnsi="Book Antiqua" w:cs="Book Antiqua"/>
        <w:i/>
        <w:color w:val="000000"/>
      </w:rPr>
      <w:t xml:space="preserve">, </w:t>
    </w:r>
    <w:proofErr w:type="spellStart"/>
    <w:r w:rsidRPr="00DD2FA7">
      <w:rPr>
        <w:rFonts w:ascii="Book Antiqua" w:eastAsia="Book Antiqua" w:hAnsi="Book Antiqua" w:cs="Book Antiqua"/>
        <w:i/>
        <w:color w:val="000000"/>
      </w:rPr>
      <w:t>Sudarsa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3EC08F" w14:textId="77777777" w:rsidR="0019570E" w:rsidRDefault="0019570E" w:rsidP="0019570E">
    <w:pPr>
      <w:pBdr>
        <w:top w:val="nil"/>
        <w:left w:val="nil"/>
        <w:bottom w:val="nil"/>
        <w:right w:val="nil"/>
        <w:between w:val="nil"/>
      </w:pBdr>
      <w:tabs>
        <w:tab w:val="center" w:pos="4513"/>
        <w:tab w:val="right" w:pos="9026"/>
      </w:tabs>
      <w:spacing w:after="0" w:line="240" w:lineRule="auto"/>
      <w:jc w:val="right"/>
      <w:rPr>
        <w:rStyle w:val="Strong"/>
        <w:rFonts w:ascii="Arial Narrow" w:hAnsi="Arial Narrow" w:cs="Tahoma"/>
        <w:shd w:val="clear" w:color="auto" w:fill="FFFFFF"/>
        <w:lang w:val="id-ID"/>
      </w:rPr>
    </w:pPr>
    <w:r w:rsidRPr="0019570E">
      <w:rPr>
        <w:rStyle w:val="Strong"/>
        <w:rFonts w:ascii="Arial Narrow" w:hAnsi="Arial Narrow" w:cs="Tahoma"/>
        <w:shd w:val="clear" w:color="auto" w:fill="FFFFFF"/>
      </w:rPr>
      <w:t>International Journal of Applied Research and Sustainable Sciences (IJARSS)</w:t>
    </w:r>
    <w:r>
      <w:rPr>
        <w:rStyle w:val="Strong"/>
        <w:rFonts w:ascii="Arial Narrow" w:hAnsi="Arial Narrow" w:cs="Tahoma"/>
        <w:shd w:val="clear" w:color="auto" w:fill="FFFFFF"/>
        <w:lang w:val="id-ID"/>
      </w:rPr>
      <w:t xml:space="preserve"> </w:t>
    </w:r>
  </w:p>
  <w:p w14:paraId="2A6E0AC9" w14:textId="6276A4EB" w:rsidR="0019570E" w:rsidRPr="0019570E" w:rsidRDefault="00423A8B" w:rsidP="0019570E">
    <w:pPr>
      <w:pBdr>
        <w:top w:val="nil"/>
        <w:left w:val="nil"/>
        <w:bottom w:val="nil"/>
        <w:right w:val="nil"/>
        <w:between w:val="nil"/>
      </w:pBdr>
      <w:tabs>
        <w:tab w:val="center" w:pos="4513"/>
        <w:tab w:val="right" w:pos="9026"/>
      </w:tabs>
      <w:spacing w:after="0" w:line="240" w:lineRule="auto"/>
      <w:jc w:val="right"/>
      <w:rPr>
        <w:rFonts w:ascii="Book Antiqua" w:eastAsia="Book Antiqua" w:hAnsi="Book Antiqua" w:cs="Book Antiqua"/>
        <w:color w:val="000000"/>
        <w:lang w:val="id-ID"/>
      </w:rPr>
    </w:pPr>
    <w:r>
      <w:rPr>
        <w:rStyle w:val="Strong"/>
        <w:rFonts w:ascii="Arial Narrow" w:hAnsi="Arial Narrow" w:cs="Tahoma"/>
        <w:shd w:val="clear" w:color="auto" w:fill="FFFFFF"/>
        <w:lang w:val="id-ID"/>
      </w:rPr>
      <w:t>Vol.</w:t>
    </w:r>
    <w:r>
      <w:rPr>
        <w:rStyle w:val="Strong"/>
        <w:rFonts w:ascii="Arial Narrow" w:hAnsi="Arial Narrow" w:cs="Tahoma"/>
        <w:shd w:val="clear" w:color="auto" w:fill="FFFFFF"/>
        <w:lang w:val="en-US"/>
      </w:rPr>
      <w:t xml:space="preserve"> 4</w:t>
    </w:r>
    <w:r>
      <w:rPr>
        <w:rStyle w:val="Strong"/>
        <w:rFonts w:ascii="Arial Narrow" w:hAnsi="Arial Narrow" w:cs="Tahoma"/>
        <w:shd w:val="clear" w:color="auto" w:fill="FFFFFF"/>
        <w:lang w:val="id-ID"/>
      </w:rPr>
      <w:t xml:space="preserve"> No.</w:t>
    </w:r>
    <w:r>
      <w:rPr>
        <w:rStyle w:val="Strong"/>
        <w:rFonts w:ascii="Arial Narrow" w:hAnsi="Arial Narrow" w:cs="Tahoma"/>
        <w:shd w:val="clear" w:color="auto" w:fill="FFFFFF"/>
        <w:lang w:val="en-US"/>
      </w:rPr>
      <w:t xml:space="preserve"> 9</w:t>
    </w:r>
    <w:r>
      <w:rPr>
        <w:rStyle w:val="Strong"/>
        <w:rFonts w:ascii="Arial Narrow" w:hAnsi="Arial Narrow" w:cs="Tahoma"/>
        <w:shd w:val="clear" w:color="auto" w:fill="FFFFFF"/>
        <w:lang w:val="id-ID"/>
      </w:rPr>
      <w:t>, 202</w:t>
    </w:r>
    <w:r>
      <w:rPr>
        <w:rStyle w:val="Strong"/>
        <w:rFonts w:ascii="Arial Narrow" w:hAnsi="Arial Narrow" w:cs="Tahoma"/>
        <w:shd w:val="clear" w:color="auto" w:fill="FFFFFF"/>
        <w:lang w:val="en-US"/>
      </w:rPr>
      <w:t>6</w:t>
    </w:r>
    <w:r>
      <w:rPr>
        <w:rStyle w:val="Strong"/>
        <w:rFonts w:ascii="Arial Narrow" w:hAnsi="Arial Narrow" w:cs="Tahoma"/>
        <w:shd w:val="clear" w:color="auto" w:fill="FFFFFF"/>
        <w:lang w:val="id-ID"/>
      </w:rPr>
      <w:t>:</w:t>
    </w:r>
    <w:r>
      <w:rPr>
        <w:rStyle w:val="Strong"/>
        <w:rFonts w:ascii="Arial Narrow" w:hAnsi="Arial Narrow" w:cs="Tahoma"/>
        <w:shd w:val="clear" w:color="auto" w:fill="FFFFFF"/>
        <w:lang w:val="en-US"/>
      </w:rPr>
      <w:t xml:space="preserve"> 813 - 832</w:t>
    </w:r>
  </w:p>
  <w:p w14:paraId="1B2C3936" w14:textId="3C0FE130" w:rsidR="00622DA4" w:rsidRDefault="0038031F">
    <w:pPr>
      <w:spacing w:after="0"/>
      <w:ind w:left="3710"/>
      <w:jc w:val="right"/>
      <w:rPr>
        <w:rFonts w:ascii="Book Antiqua" w:eastAsia="Book Antiqua" w:hAnsi="Book Antiqua" w:cs="Book Antiqua"/>
      </w:rPr>
    </w:pPr>
    <w:r>
      <w:rPr>
        <w:rFonts w:ascii="Book Antiqua" w:eastAsia="Book Antiqua" w:hAnsi="Book Antiqua" w:cs="Book Antiqua"/>
        <w:i/>
      </w:rPr>
      <w:tab/>
      <w:t xml:space="preserve">                                                   </w:t>
    </w:r>
    <w:r>
      <w:rPr>
        <w:rFonts w:ascii="Book Antiqua" w:eastAsia="Book Antiqua" w:hAnsi="Book Antiqua" w:cs="Book Antiqua"/>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BF362" w14:textId="4A46CA7E" w:rsidR="00622DA4" w:rsidRDefault="0019570E">
    <w:pPr>
      <w:pBdr>
        <w:top w:val="nil"/>
        <w:left w:val="nil"/>
        <w:bottom w:val="nil"/>
        <w:right w:val="nil"/>
        <w:between w:val="nil"/>
      </w:pBdr>
      <w:tabs>
        <w:tab w:val="center" w:pos="4513"/>
        <w:tab w:val="right" w:pos="9026"/>
      </w:tabs>
      <w:spacing w:after="0" w:line="240" w:lineRule="auto"/>
      <w:rPr>
        <w:rStyle w:val="Strong"/>
        <w:rFonts w:ascii="Arial Narrow" w:hAnsi="Arial Narrow" w:cs="Tahoma"/>
        <w:shd w:val="clear" w:color="auto" w:fill="FFFFFF"/>
        <w:lang w:val="id-ID"/>
      </w:rPr>
    </w:pPr>
    <w:r>
      <w:rPr>
        <w:rFonts w:ascii="Book Antiqua" w:eastAsia="Book Antiqua" w:hAnsi="Book Antiqua" w:cs="Book Antiqua"/>
        <w:noProof/>
        <w:color w:val="000000"/>
        <w:lang w:val="id-ID" w:eastAsia="id-ID"/>
      </w:rPr>
      <w:drawing>
        <wp:anchor distT="0" distB="0" distL="114300" distR="114300" simplePos="0" relativeHeight="251660288" behindDoc="0" locked="0" layoutInCell="1" allowOverlap="1" wp14:anchorId="17C9AE8C" wp14:editId="18D31C31">
          <wp:simplePos x="0" y="0"/>
          <wp:positionH relativeFrom="column">
            <wp:posOffset>4683125</wp:posOffset>
          </wp:positionH>
          <wp:positionV relativeFrom="paragraph">
            <wp:posOffset>-475615</wp:posOffset>
          </wp:positionV>
          <wp:extent cx="1009650" cy="10096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3-09-05 at 12.56.51.jpeg"/>
                  <pic:cNvPicPr/>
                </pic:nvPicPr>
                <pic:blipFill>
                  <a:blip r:embed="rId1">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page">
            <wp14:pctWidth>0</wp14:pctWidth>
          </wp14:sizeRelH>
          <wp14:sizeRelV relativeFrom="page">
            <wp14:pctHeight>0</wp14:pctHeight>
          </wp14:sizeRelV>
        </wp:anchor>
      </w:drawing>
    </w:r>
    <w:r w:rsidRPr="0019570E">
      <w:rPr>
        <w:rStyle w:val="Strong"/>
        <w:rFonts w:ascii="Arial Narrow" w:hAnsi="Arial Narrow" w:cs="Tahoma"/>
        <w:shd w:val="clear" w:color="auto" w:fill="FFFFFF"/>
      </w:rPr>
      <w:t>International Journal of Applied Research and Sustainable Sciences (IJARSS)</w:t>
    </w:r>
    <w:r>
      <w:rPr>
        <w:rStyle w:val="Strong"/>
        <w:rFonts w:ascii="Arial Narrow" w:hAnsi="Arial Narrow" w:cs="Tahoma"/>
        <w:shd w:val="clear" w:color="auto" w:fill="FFFFFF"/>
        <w:lang w:val="id-ID"/>
      </w:rPr>
      <w:t xml:space="preserve"> </w:t>
    </w:r>
  </w:p>
  <w:p w14:paraId="2C177C82" w14:textId="18E8AB60" w:rsidR="0019570E" w:rsidRPr="00423A8B" w:rsidRDefault="0019570E">
    <w:pPr>
      <w:pBdr>
        <w:top w:val="nil"/>
        <w:left w:val="nil"/>
        <w:bottom w:val="nil"/>
        <w:right w:val="nil"/>
        <w:between w:val="nil"/>
      </w:pBdr>
      <w:tabs>
        <w:tab w:val="center" w:pos="4513"/>
        <w:tab w:val="right" w:pos="9026"/>
      </w:tabs>
      <w:spacing w:after="0" w:line="240" w:lineRule="auto"/>
      <w:rPr>
        <w:rFonts w:ascii="Book Antiqua" w:eastAsia="Book Antiqua" w:hAnsi="Book Antiqua" w:cs="Book Antiqua"/>
        <w:color w:val="000000"/>
        <w:lang w:val="en-US"/>
      </w:rPr>
    </w:pPr>
    <w:r>
      <w:rPr>
        <w:rStyle w:val="Strong"/>
        <w:rFonts w:ascii="Arial Narrow" w:hAnsi="Arial Narrow" w:cs="Tahoma"/>
        <w:shd w:val="clear" w:color="auto" w:fill="FFFFFF"/>
        <w:lang w:val="id-ID"/>
      </w:rPr>
      <w:t>Vol.</w:t>
    </w:r>
    <w:r w:rsidR="00423A8B">
      <w:rPr>
        <w:rStyle w:val="Strong"/>
        <w:rFonts w:ascii="Arial Narrow" w:hAnsi="Arial Narrow" w:cs="Tahoma"/>
        <w:shd w:val="clear" w:color="auto" w:fill="FFFFFF"/>
        <w:lang w:val="en-US"/>
      </w:rPr>
      <w:t xml:space="preserve"> 4</w:t>
    </w:r>
    <w:r>
      <w:rPr>
        <w:rStyle w:val="Strong"/>
        <w:rFonts w:ascii="Arial Narrow" w:hAnsi="Arial Narrow" w:cs="Tahoma"/>
        <w:shd w:val="clear" w:color="auto" w:fill="FFFFFF"/>
        <w:lang w:val="id-ID"/>
      </w:rPr>
      <w:t xml:space="preserve"> No.</w:t>
    </w:r>
    <w:r w:rsidR="00423A8B">
      <w:rPr>
        <w:rStyle w:val="Strong"/>
        <w:rFonts w:ascii="Arial Narrow" w:hAnsi="Arial Narrow" w:cs="Tahoma"/>
        <w:shd w:val="clear" w:color="auto" w:fill="FFFFFF"/>
        <w:lang w:val="en-US"/>
      </w:rPr>
      <w:t xml:space="preserve"> 9</w:t>
    </w:r>
    <w:r>
      <w:rPr>
        <w:rStyle w:val="Strong"/>
        <w:rFonts w:ascii="Arial Narrow" w:hAnsi="Arial Narrow" w:cs="Tahoma"/>
        <w:shd w:val="clear" w:color="auto" w:fill="FFFFFF"/>
        <w:lang w:val="id-ID"/>
      </w:rPr>
      <w:t>, 202</w:t>
    </w:r>
    <w:r w:rsidR="00423A8B">
      <w:rPr>
        <w:rStyle w:val="Strong"/>
        <w:rFonts w:ascii="Arial Narrow" w:hAnsi="Arial Narrow" w:cs="Tahoma"/>
        <w:shd w:val="clear" w:color="auto" w:fill="FFFFFF"/>
        <w:lang w:val="en-US"/>
      </w:rPr>
      <w:t>6</w:t>
    </w:r>
    <w:r>
      <w:rPr>
        <w:rStyle w:val="Strong"/>
        <w:rFonts w:ascii="Arial Narrow" w:hAnsi="Arial Narrow" w:cs="Tahoma"/>
        <w:shd w:val="clear" w:color="auto" w:fill="FFFFFF"/>
        <w:lang w:val="id-ID"/>
      </w:rPr>
      <w:t>:</w:t>
    </w:r>
    <w:r w:rsidR="00423A8B">
      <w:rPr>
        <w:rStyle w:val="Strong"/>
        <w:rFonts w:ascii="Arial Narrow" w:hAnsi="Arial Narrow" w:cs="Tahoma"/>
        <w:shd w:val="clear" w:color="auto" w:fill="FFFFFF"/>
        <w:lang w:val="en-US"/>
      </w:rPr>
      <w:t xml:space="preserve"> 813 - 832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01847"/>
    <w:multiLevelType w:val="multilevel"/>
    <w:tmpl w:val="38D0CC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DA4"/>
    <w:rsid w:val="000729EF"/>
    <w:rsid w:val="00074CE0"/>
    <w:rsid w:val="000968D8"/>
    <w:rsid w:val="0010235A"/>
    <w:rsid w:val="00130995"/>
    <w:rsid w:val="0019570E"/>
    <w:rsid w:val="001A6E2F"/>
    <w:rsid w:val="001E0A6E"/>
    <w:rsid w:val="002003A9"/>
    <w:rsid w:val="00200738"/>
    <w:rsid w:val="002F4EBF"/>
    <w:rsid w:val="0038031F"/>
    <w:rsid w:val="003879CB"/>
    <w:rsid w:val="003A22C8"/>
    <w:rsid w:val="00423A8B"/>
    <w:rsid w:val="004817B1"/>
    <w:rsid w:val="004B0B29"/>
    <w:rsid w:val="004D564B"/>
    <w:rsid w:val="005200EA"/>
    <w:rsid w:val="005722A5"/>
    <w:rsid w:val="005F6847"/>
    <w:rsid w:val="0061232C"/>
    <w:rsid w:val="006173C9"/>
    <w:rsid w:val="00622DA4"/>
    <w:rsid w:val="00664C6D"/>
    <w:rsid w:val="00680384"/>
    <w:rsid w:val="006F63B6"/>
    <w:rsid w:val="007A1FFD"/>
    <w:rsid w:val="007B4596"/>
    <w:rsid w:val="007E7687"/>
    <w:rsid w:val="00846BDE"/>
    <w:rsid w:val="009102D6"/>
    <w:rsid w:val="00952A9C"/>
    <w:rsid w:val="00A85629"/>
    <w:rsid w:val="00B46C5B"/>
    <w:rsid w:val="00B55419"/>
    <w:rsid w:val="00BF67B7"/>
    <w:rsid w:val="00CD60BB"/>
    <w:rsid w:val="00D16A66"/>
    <w:rsid w:val="00DA23A6"/>
    <w:rsid w:val="00DC0EB0"/>
    <w:rsid w:val="00DD2FA7"/>
    <w:rsid w:val="00DE5C2F"/>
    <w:rsid w:val="00E230A1"/>
    <w:rsid w:val="00EF05BD"/>
    <w:rsid w:val="00F47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9E6056"/>
  <w15:docId w15:val="{5E12421F-B5B9-46C7-9BCE-AFA9FC293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F4B12"/>
    <w:pPr>
      <w:ind w:left="720"/>
      <w:contextualSpacing/>
    </w:pPr>
  </w:style>
  <w:style w:type="paragraph" w:styleId="BalloonText">
    <w:name w:val="Balloon Text"/>
    <w:basedOn w:val="Normal"/>
    <w:link w:val="BalloonTextChar"/>
    <w:uiPriority w:val="99"/>
    <w:semiHidden/>
    <w:unhideWhenUsed/>
    <w:rsid w:val="008E79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E792F"/>
    <w:rPr>
      <w:rFonts w:ascii="Tahoma" w:hAnsi="Tahoma" w:cs="Tahoma"/>
      <w:sz w:val="16"/>
      <w:szCs w:val="16"/>
    </w:rPr>
  </w:style>
  <w:style w:type="table" w:styleId="TableGrid">
    <w:name w:val="Table Grid"/>
    <w:basedOn w:val="TableNormal"/>
    <w:uiPriority w:val="39"/>
    <w:rsid w:val="008E79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5E006D"/>
    <w:rPr>
      <w:color w:val="808080"/>
    </w:rPr>
  </w:style>
  <w:style w:type="character" w:styleId="Hyperlink">
    <w:name w:val="Hyperlink"/>
    <w:basedOn w:val="DefaultParagraphFont"/>
    <w:uiPriority w:val="99"/>
    <w:unhideWhenUsed/>
    <w:rsid w:val="008A5FBF"/>
    <w:rPr>
      <w:color w:val="0000FF" w:themeColor="hyperlink"/>
      <w:u w:val="single"/>
    </w:rPr>
  </w:style>
  <w:style w:type="paragraph" w:styleId="BodyTextIndent">
    <w:name w:val="Body Text Indent"/>
    <w:basedOn w:val="Normal"/>
    <w:link w:val="BodyTextIndentChar"/>
    <w:rsid w:val="00674A16"/>
    <w:pPr>
      <w:spacing w:after="0" w:line="360" w:lineRule="auto"/>
      <w:ind w:firstLine="1260"/>
      <w:jc w:val="both"/>
    </w:pPr>
    <w:rPr>
      <w:rFonts w:ascii="Times New Roman" w:eastAsia="Times New Roman" w:hAnsi="Times New Roman" w:cs="Times New Roman"/>
      <w:noProof/>
      <w:sz w:val="24"/>
      <w:szCs w:val="24"/>
    </w:rPr>
  </w:style>
  <w:style w:type="character" w:customStyle="1" w:styleId="BodyTextIndentChar">
    <w:name w:val="Body Text Indent Char"/>
    <w:basedOn w:val="DefaultParagraphFont"/>
    <w:link w:val="BodyTextIndent"/>
    <w:rsid w:val="00674A16"/>
    <w:rPr>
      <w:rFonts w:ascii="Times New Roman" w:eastAsia="Times New Roman" w:hAnsi="Times New Roman" w:cs="Times New Roman"/>
      <w:noProof/>
      <w:sz w:val="24"/>
      <w:szCs w:val="24"/>
    </w:rPr>
  </w:style>
  <w:style w:type="paragraph" w:customStyle="1" w:styleId="Default">
    <w:name w:val="Default"/>
    <w:rsid w:val="008D745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5yl5">
    <w:name w:val="_5yl5"/>
    <w:basedOn w:val="DefaultParagraphFont"/>
    <w:rsid w:val="008D745A"/>
  </w:style>
  <w:style w:type="character" w:styleId="Emphasis">
    <w:name w:val="Emphasis"/>
    <w:basedOn w:val="DefaultParagraphFont"/>
    <w:uiPriority w:val="20"/>
    <w:qFormat/>
    <w:rsid w:val="008D745A"/>
    <w:rPr>
      <w:i/>
      <w:iCs/>
    </w:rPr>
  </w:style>
  <w:style w:type="paragraph" w:styleId="NoSpacing">
    <w:name w:val="No Spacing"/>
    <w:uiPriority w:val="1"/>
    <w:qFormat/>
    <w:rsid w:val="008D745A"/>
    <w:pPr>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42C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2CFE"/>
  </w:style>
  <w:style w:type="paragraph" w:styleId="Footer">
    <w:name w:val="footer"/>
    <w:basedOn w:val="Normal"/>
    <w:link w:val="FooterChar"/>
    <w:uiPriority w:val="99"/>
    <w:unhideWhenUsed/>
    <w:rsid w:val="00042C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2CFE"/>
  </w:style>
  <w:style w:type="paragraph" w:styleId="FootnoteText">
    <w:name w:val="footnote text"/>
    <w:basedOn w:val="Normal"/>
    <w:link w:val="FootnoteTextChar"/>
    <w:uiPriority w:val="99"/>
    <w:semiHidden/>
    <w:unhideWhenUsed/>
    <w:rsid w:val="00B074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7429"/>
    <w:rPr>
      <w:sz w:val="20"/>
      <w:szCs w:val="20"/>
    </w:rPr>
  </w:style>
  <w:style w:type="character" w:styleId="FootnoteReference">
    <w:name w:val="footnote reference"/>
    <w:basedOn w:val="DefaultParagraphFont"/>
    <w:uiPriority w:val="99"/>
    <w:semiHidden/>
    <w:unhideWhenUsed/>
    <w:rsid w:val="00B07429"/>
    <w:rPr>
      <w:vertAlign w:val="superscript"/>
    </w:rPr>
  </w:style>
  <w:style w:type="paragraph" w:styleId="EndnoteText">
    <w:name w:val="endnote text"/>
    <w:basedOn w:val="Normal"/>
    <w:link w:val="EndnoteTextChar"/>
    <w:uiPriority w:val="99"/>
    <w:semiHidden/>
    <w:unhideWhenUsed/>
    <w:rsid w:val="00DC715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C715F"/>
    <w:rPr>
      <w:sz w:val="20"/>
      <w:szCs w:val="20"/>
    </w:rPr>
  </w:style>
  <w:style w:type="character" w:styleId="EndnoteReference">
    <w:name w:val="endnote reference"/>
    <w:basedOn w:val="DefaultParagraphFont"/>
    <w:uiPriority w:val="99"/>
    <w:semiHidden/>
    <w:unhideWhenUsed/>
    <w:rsid w:val="00DC715F"/>
    <w:rPr>
      <w:vertAlign w:val="superscript"/>
    </w:rPr>
  </w:style>
  <w:style w:type="paragraph" w:styleId="Caption">
    <w:name w:val="caption"/>
    <w:basedOn w:val="Normal"/>
    <w:next w:val="Normal"/>
    <w:uiPriority w:val="35"/>
    <w:unhideWhenUsed/>
    <w:qFormat/>
    <w:rsid w:val="00B4098D"/>
    <w:pPr>
      <w:spacing w:line="240" w:lineRule="auto"/>
    </w:pPr>
    <w:rPr>
      <w:rFonts w:eastAsiaTheme="minorHAnsi"/>
      <w:i/>
      <w:iCs/>
      <w:color w:val="1F497D" w:themeColor="text2"/>
      <w:sz w:val="18"/>
      <w:szCs w:val="18"/>
    </w:rPr>
  </w:style>
  <w:style w:type="character" w:customStyle="1" w:styleId="UnresolvedMention1">
    <w:name w:val="Unresolved Mention1"/>
    <w:basedOn w:val="DefaultParagraphFont"/>
    <w:uiPriority w:val="99"/>
    <w:semiHidden/>
    <w:unhideWhenUsed/>
    <w:rsid w:val="00C57FD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TableParagraph">
    <w:name w:val="Table Paragraph"/>
    <w:basedOn w:val="Normal"/>
    <w:uiPriority w:val="1"/>
    <w:qFormat/>
    <w:rsid w:val="00863F8F"/>
    <w:pPr>
      <w:widowControl w:val="0"/>
      <w:autoSpaceDE w:val="0"/>
      <w:autoSpaceDN w:val="0"/>
      <w:spacing w:after="0" w:line="246" w:lineRule="exact"/>
      <w:ind w:left="107"/>
    </w:pPr>
  </w:style>
  <w:style w:type="character" w:styleId="Strong">
    <w:name w:val="Strong"/>
    <w:basedOn w:val="DefaultParagraphFont"/>
    <w:uiPriority w:val="22"/>
    <w:qFormat/>
    <w:rsid w:val="006B38D5"/>
    <w:rPr>
      <w:b/>
      <w:bCs/>
    </w:r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pPr>
      <w:spacing w:after="0" w:line="240" w:lineRule="auto"/>
    </w:pPr>
    <w:tblPr>
      <w:tblStyleRowBandSize w:val="1"/>
      <w:tblStyleColBandSize w:val="1"/>
    </w:tblPr>
  </w:style>
  <w:style w:type="character" w:customStyle="1" w:styleId="UnresolvedMention2">
    <w:name w:val="Unresolved Mention2"/>
    <w:basedOn w:val="DefaultParagraphFont"/>
    <w:uiPriority w:val="99"/>
    <w:semiHidden/>
    <w:unhideWhenUsed/>
    <w:rsid w:val="002F4EBF"/>
    <w:rPr>
      <w:color w:val="605E5C"/>
      <w:shd w:val="clear" w:color="auto" w:fill="E1DFDD"/>
    </w:rPr>
  </w:style>
  <w:style w:type="paragraph" w:styleId="BodyText">
    <w:name w:val="Body Text"/>
    <w:basedOn w:val="Normal"/>
    <w:link w:val="BodyTextChar"/>
    <w:uiPriority w:val="99"/>
    <w:semiHidden/>
    <w:unhideWhenUsed/>
    <w:rsid w:val="00664C6D"/>
    <w:pPr>
      <w:spacing w:after="120"/>
    </w:pPr>
  </w:style>
  <w:style w:type="character" w:customStyle="1" w:styleId="BodyTextChar">
    <w:name w:val="Body Text Char"/>
    <w:basedOn w:val="DefaultParagraphFont"/>
    <w:link w:val="BodyText"/>
    <w:uiPriority w:val="99"/>
    <w:semiHidden/>
    <w:rsid w:val="00664C6D"/>
  </w:style>
  <w:style w:type="paragraph" w:styleId="NormalWeb">
    <w:name w:val="Normal (Web)"/>
    <w:basedOn w:val="Normal"/>
    <w:uiPriority w:val="99"/>
    <w:semiHidden/>
    <w:unhideWhenUsed/>
    <w:rsid w:val="00A85629"/>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styleId="UnresolvedMention">
    <w:name w:val="Unresolved Mention"/>
    <w:basedOn w:val="DefaultParagraphFont"/>
    <w:uiPriority w:val="99"/>
    <w:semiHidden/>
    <w:unhideWhenUsed/>
    <w:rsid w:val="004D5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897852">
      <w:bodyDiv w:val="1"/>
      <w:marLeft w:val="0"/>
      <w:marRight w:val="0"/>
      <w:marTop w:val="0"/>
      <w:marBottom w:val="0"/>
      <w:divBdr>
        <w:top w:val="none" w:sz="0" w:space="0" w:color="auto"/>
        <w:left w:val="none" w:sz="0" w:space="0" w:color="auto"/>
        <w:bottom w:val="none" w:sz="0" w:space="0" w:color="auto"/>
        <w:right w:val="none" w:sz="0" w:space="0" w:color="auto"/>
      </w:divBdr>
    </w:div>
    <w:div w:id="812481763">
      <w:bodyDiv w:val="1"/>
      <w:marLeft w:val="0"/>
      <w:marRight w:val="0"/>
      <w:marTop w:val="0"/>
      <w:marBottom w:val="0"/>
      <w:divBdr>
        <w:top w:val="none" w:sz="0" w:space="0" w:color="auto"/>
        <w:left w:val="none" w:sz="0" w:space="0" w:color="auto"/>
        <w:bottom w:val="none" w:sz="0" w:space="0" w:color="auto"/>
        <w:right w:val="none" w:sz="0" w:space="0" w:color="auto"/>
      </w:divBdr>
    </w:div>
    <w:div w:id="1684167447">
      <w:bodyDiv w:val="1"/>
      <w:marLeft w:val="0"/>
      <w:marRight w:val="0"/>
      <w:marTop w:val="0"/>
      <w:marBottom w:val="0"/>
      <w:divBdr>
        <w:top w:val="none" w:sz="0" w:space="0" w:color="auto"/>
        <w:left w:val="none" w:sz="0" w:space="0" w:color="auto"/>
        <w:bottom w:val="none" w:sz="0" w:space="0" w:color="auto"/>
        <w:right w:val="none" w:sz="0" w:space="0" w:color="auto"/>
      </w:divBdr>
    </w:div>
    <w:div w:id="19523487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rmandacaca20@gmail.com"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creativecommons.org/licenses/by/4.0/"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creativecommons.org/licenses/by/4.0/" TargetMode="Externa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hyperlink" Target="https://doi.org/10.59890/ijarss.v4i9.46" TargetMode="External"/><Relationship Id="rId1" Type="http://schemas.openxmlformats.org/officeDocument/2006/relationships/hyperlink" Target="https://doi.org/10.59890/ijarss.v4i9.46"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W8s2jkFHfE9J+tNgwhrwqFUGTw==">AMUW2mXtFHie+Jg25CZaVmEb+bN8zOKtoPAKd8eWX/CEB8hIcoB2csaXMxeKFZLmpd7frblEhqjUPAcWA512OsQP+wvr5bxuXkALa3P8xipMNldFMVrcfzfKcGQz+QHo1krF5OTCI9lN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8917</Words>
  <Characters>50830</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Appman Premium 2021</Company>
  <LinksUpToDate>false</LinksUpToDate>
  <CharactersWithSpaces>59628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dc:creator>
  <cp:lastModifiedBy>user</cp:lastModifiedBy>
  <cp:revision>3</cp:revision>
  <dcterms:created xsi:type="dcterms:W3CDTF">2026-10-02T20:14:00Z</dcterms:created>
  <dcterms:modified xsi:type="dcterms:W3CDTF">2026-10-03T04:36:00Z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81bea3fe-ce47-347c-8a64-0836604cd1dd</vt:lpwstr>
  </property>
  <property fmtid="{D5CDD505-2E9C-101B-9397-08002B2CF9AE}" pid="24" name="Mendeley Citation Style_1">
    <vt:lpwstr>http://www.zotero.org/styles/apa</vt:lpwstr>
  </property>
  <property fmtid="{D5CDD505-2E9C-101B-9397-08002B2CF9AE}" pid="25" name="GrammarlyDocumentId">
    <vt:lpwstr>d2f8620b-d009-47de-b27d-1378b6484269</vt:lpwstr>
  </property>
</Properties>
</file>